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Arial"/>
          <w:b/>
          <w:i w:val="0"/>
          <w:color w:val="E2231A"/>
          <w:sz w:val="16"/>
        </w:rPr>
        <w:t>IFRC WASH TOOL · FORM / TEMPLATE</w:t>
      </w:r>
    </w:p>
    <w:p>
      <w:pPr>
        <w:keepNext/>
        <w:spacing w:after="40"/>
      </w:pPr>
      <w:r>
        <w:rPr>
          <w:rFonts w:ascii="Arial" w:hAnsi="Arial" w:eastAsia="Arial"/>
          <w:b/>
          <w:i w:val="0"/>
          <w:color w:val="333333"/>
          <w:sz w:val="36"/>
        </w:rPr>
        <w:t>Sanitary survey action plan</w:t>
      </w:r>
    </w:p>
    <w:p>
      <w:pPr>
        <w:spacing w:after="200"/>
        <w:pBdr>
          <w:bottom w:val="single" w:sz="8" w:space="4" w:color="E2231A"/>
        </w:pBdr>
      </w:pPr>
      <w:r>
        <w:rPr>
          <w:rFonts w:ascii="Arial" w:hAnsi="Arial" w:eastAsia="Arial"/>
          <w:b w:val="0"/>
          <w:i w:val="0"/>
          <w:color w:val="666666"/>
          <w:sz w:val="18"/>
        </w:rPr>
        <w:t>Module 3: Sanitary surveys  ·  Table for recording actions  ·  Curriculum p. 108</w:t>
      </w:r>
    </w:p>
    <w:p>
      <w:pPr>
        <w:spacing w:after="80"/>
      </w:pPr>
      <w:r>
        <w:rPr>
          <w:rFonts w:ascii="Arial" w:hAnsi="Arial" w:eastAsia="Arial"/>
          <w:b w:val="0"/>
          <w:i w:val="0"/>
        </w:rPr>
        <w:t>After the sanitary survey, discuss the key actions that can be taken in response to the survey findings. Note who will do what, and by when. Brainstorm the key action items on a flip chart first, then record them here.</w:t>
      </w:r>
    </w:p>
    <w:tbl>
      <w:tblPr>
        <w:jc w:val="center"/>
        <w:tblLayout w:type="fixed"/>
        <w:tblLook w:firstColumn="1" w:firstRow="1" w:lastColumn="0" w:lastRow="0" w:noHBand="0" w:noVBand="1" w:val="04A0"/>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90" w:type="dxa"/>
          <w:bottom w:w="60" w:type="dxa"/>
          <w:right w:w="90" w:type="dxa"/>
        </w:tblCellMar>
        <w:tblW w:w="9639" w:type="dxa"/>
      </w:tblPr>
      <w:tblGrid>
        <w:gridCol w:w="2920"/>
        <w:gridCol w:w="2336"/>
        <w:gridCol w:w="1752"/>
        <w:gridCol w:w="2628"/>
      </w:tblGrid>
      <w:tr>
        <w:trPr>
          <w:tblHeader w:val="true"/>
        </w:trPr>
        <w:tc>
          <w:tcPr>
            <w:tcW w:type="dxa" w:w="2921"/>
            <w:shd w:val="clear" w:color="auto" w:fill="F4D9D6"/>
          </w:tcPr>
          <w:p>
            <w:r/>
            <w:r>
              <w:rPr>
                <w:rFonts w:ascii="Arial" w:hAnsi="Arial" w:eastAsia="Arial"/>
                <w:b/>
                <w:i w:val="0"/>
                <w:sz w:val="18"/>
              </w:rPr>
              <w:t>Action to be taken</w:t>
            </w:r>
          </w:p>
        </w:tc>
        <w:tc>
          <w:tcPr>
            <w:tcW w:type="dxa" w:w="2336"/>
            <w:shd w:val="clear" w:color="auto" w:fill="F4D9D6"/>
          </w:tcPr>
          <w:p>
            <w:r/>
            <w:r>
              <w:rPr>
                <w:rFonts w:ascii="Arial" w:hAnsi="Arial" w:eastAsia="Arial"/>
                <w:b/>
                <w:i w:val="0"/>
                <w:sz w:val="18"/>
              </w:rPr>
              <w:t>Who will do it</w:t>
            </w:r>
          </w:p>
        </w:tc>
        <w:tc>
          <w:tcPr>
            <w:tcW w:type="dxa" w:w="1752"/>
            <w:shd w:val="clear" w:color="auto" w:fill="F4D9D6"/>
          </w:tcPr>
          <w:p>
            <w:r/>
            <w:r>
              <w:rPr>
                <w:rFonts w:ascii="Arial" w:hAnsi="Arial" w:eastAsia="Arial"/>
                <w:b/>
                <w:i w:val="0"/>
                <w:sz w:val="18"/>
              </w:rPr>
              <w:t>By when</w:t>
            </w:r>
          </w:p>
        </w:tc>
        <w:tc>
          <w:tcPr>
            <w:tcW w:type="dxa" w:w="2628"/>
            <w:shd w:val="clear" w:color="auto" w:fill="F4D9D6"/>
          </w:tcPr>
          <w:p>
            <w:r/>
            <w:r>
              <w:rPr>
                <w:rFonts w:ascii="Arial" w:hAnsi="Arial" w:eastAsia="Arial"/>
                <w:b/>
                <w:i w:val="0"/>
                <w:sz w:val="18"/>
              </w:rPr>
              <w:t>With what materials</w:t>
            </w:r>
          </w:p>
        </w:tc>
      </w:tr>
      <w:tr>
        <w:trPr>
          <w:cantSplit w:val="true"/>
          <w:trHeight w:val="624"/>
        </w:trPr>
        <w:tc>
          <w:tcPr>
            <w:tcW w:type="dxa" w:w="2921"/>
          </w:tcPr>
          <w:p>
            <w:pPr>
              <w:spacing w:after="40"/>
            </w:pPr>
            <w:r/>
            <w:r>
              <w:rPr>
                <w:rFonts w:ascii="Arial" w:hAnsi="Arial" w:eastAsia="Arial"/>
                <w:b w:val="0"/>
                <w:i w:val="0"/>
                <w:sz w:val="18"/>
              </w:rPr>
              <w:t>Fence off from animals</w:t>
            </w:r>
          </w:p>
        </w:tc>
        <w:tc>
          <w:tcPr>
            <w:tcW w:type="dxa" w:w="2336"/>
          </w:tcPr>
          <w:p>
            <w:pPr>
              <w:spacing w:after="0"/>
            </w:pPr>
            <w:r/>
          </w:p>
        </w:tc>
        <w:tc>
          <w:tcPr>
            <w:tcW w:type="dxa" w:w="1752"/>
          </w:tcPr>
          <w:p>
            <w:pPr>
              <w:spacing w:after="0"/>
            </w:pPr>
            <w:r/>
          </w:p>
        </w:tc>
        <w:tc>
          <w:tcPr>
            <w:tcW w:type="dxa" w:w="2628"/>
          </w:tcPr>
          <w:p>
            <w:pPr>
              <w:spacing w:after="0"/>
            </w:pPr>
            <w:r/>
          </w:p>
        </w:tc>
      </w:tr>
      <w:tr>
        <w:trPr>
          <w:cantSplit w:val="true"/>
          <w:trHeight w:val="624"/>
        </w:trPr>
        <w:tc>
          <w:tcPr>
            <w:tcW w:type="dxa" w:w="2921"/>
          </w:tcPr>
          <w:p>
            <w:pPr>
              <w:spacing w:after="40"/>
            </w:pPr>
            <w:r/>
            <w:r>
              <w:rPr>
                <w:rFonts w:ascii="Arial" w:hAnsi="Arial" w:eastAsia="Arial"/>
                <w:b w:val="0"/>
                <w:i w:val="0"/>
                <w:sz w:val="18"/>
              </w:rPr>
              <w:t>Make drainage apron and channel</w:t>
            </w:r>
          </w:p>
        </w:tc>
        <w:tc>
          <w:tcPr>
            <w:tcW w:type="dxa" w:w="2336"/>
          </w:tcPr>
          <w:p>
            <w:pPr>
              <w:spacing w:after="0"/>
            </w:pPr>
            <w:r/>
          </w:p>
        </w:tc>
        <w:tc>
          <w:tcPr>
            <w:tcW w:type="dxa" w:w="1752"/>
          </w:tcPr>
          <w:p>
            <w:pPr>
              <w:spacing w:after="0"/>
            </w:pPr>
            <w:r/>
          </w:p>
        </w:tc>
        <w:tc>
          <w:tcPr>
            <w:tcW w:type="dxa" w:w="2628"/>
          </w:tcPr>
          <w:p>
            <w:pPr>
              <w:spacing w:after="0"/>
            </w:pPr>
            <w:r/>
          </w:p>
        </w:tc>
      </w:tr>
      <w:tr>
        <w:trPr>
          <w:cantSplit w:val="true"/>
          <w:trHeight w:val="624"/>
        </w:trPr>
        <w:tc>
          <w:tcPr>
            <w:tcW w:type="dxa" w:w="2921"/>
          </w:tcPr>
          <w:p>
            <w:pPr>
              <w:spacing w:after="40"/>
            </w:pPr>
            <w:r/>
            <w:r>
              <w:rPr>
                <w:rFonts w:ascii="Arial" w:hAnsi="Arial" w:eastAsia="Arial"/>
                <w:b w:val="0"/>
                <w:i w:val="0"/>
                <w:sz w:val="18"/>
              </w:rPr>
              <w:t>Fix cracked concrete</w:t>
            </w:r>
          </w:p>
        </w:tc>
        <w:tc>
          <w:tcPr>
            <w:tcW w:type="dxa" w:w="2336"/>
          </w:tcPr>
          <w:p>
            <w:pPr>
              <w:spacing w:after="0"/>
            </w:pPr>
            <w:r/>
          </w:p>
        </w:tc>
        <w:tc>
          <w:tcPr>
            <w:tcW w:type="dxa" w:w="1752"/>
          </w:tcPr>
          <w:p>
            <w:pPr>
              <w:spacing w:after="0"/>
            </w:pPr>
            <w:r/>
          </w:p>
        </w:tc>
        <w:tc>
          <w:tcPr>
            <w:tcW w:type="dxa" w:w="2628"/>
          </w:tcPr>
          <w:p>
            <w:pPr>
              <w:spacing w:after="0"/>
            </w:pPr>
            <w: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r>
        <w:trPr>
          <w:cantSplit w:val="true"/>
          <w:trHeight w:val="624"/>
        </w:trPr>
        <w:tc>
          <w:tcPr>
            <w:tcW w:type="dxa" w:w="2921"/>
          </w:tcPr>
          <w:p/>
        </w:tc>
        <w:tc>
          <w:tcPr>
            <w:tcW w:type="dxa" w:w="2336"/>
          </w:tcPr>
          <w:p/>
        </w:tc>
        <w:tc>
          <w:tcPr>
            <w:tcW w:type="dxa" w:w="1752"/>
          </w:tcPr>
          <w:p/>
        </w:tc>
        <w:tc>
          <w:tcPr>
            <w:tcW w:type="dxa" w:w="2628"/>
          </w:tcPr>
          <w:p/>
        </w:tc>
      </w:tr>
    </w:tbl>
    <w:p>
      <w:pPr>
        <w:spacing w:after="40"/>
      </w:pPr>
    </w:p>
    <w:p>
      <w:pPr>
        <w:spacing w:before="80"/>
      </w:pPr>
      <w:r>
        <w:rPr>
          <w:rFonts w:ascii="Arial" w:hAnsi="Arial" w:eastAsia="Arial"/>
          <w:b w:val="0"/>
          <w:i/>
          <w:color w:val="666666"/>
          <w:sz w:val="18"/>
        </w:rPr>
        <w:t>The first three rows are examples given in the curriculum; replace them with the actions from your own survey.</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eastAsia="Arial"/>
        <w:b w:val="0"/>
        <w:i w:val="0"/>
        <w:color w:val="666666"/>
        <w:sz w:val="14"/>
      </w:rPr>
      <w:t>Source: IFRC, Training Curriculum for Community-based Volunteers: Repair and Maintenance of Water Supply Systems (ECHO DRR Project, Kenya and Uganda), 2013. © International Federation of Red Cross and Red Crescent Societies. Copies may be made for noncommercial use, provided the source is acknowledged.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