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703B" w14:textId="5845122C" w:rsidR="00681EA5" w:rsidRPr="00F066AA" w:rsidRDefault="00F066AA" w:rsidP="00495F92">
      <w:pPr>
        <w:pStyle w:val="Style1"/>
        <w:rPr>
          <w:lang w:val="fr-FR"/>
        </w:rPr>
      </w:pPr>
      <w:r w:rsidRPr="00F066AA">
        <w:rPr>
          <w:lang w:val="fr-FR"/>
        </w:rPr>
        <w:t>OUTIL</w:t>
      </w:r>
      <w:r w:rsidR="00E303D5" w:rsidRPr="00F066AA">
        <w:rPr>
          <w:lang w:val="fr-FR"/>
        </w:rPr>
        <w:t xml:space="preserve"> 13</w:t>
      </w:r>
    </w:p>
    <w:p w14:paraId="79F67EE1" w14:textId="40179367" w:rsidR="00495F92" w:rsidRPr="00F066AA" w:rsidRDefault="00C36DEE" w:rsidP="00495F92">
      <w:pPr>
        <w:pStyle w:val="Style1"/>
        <w:rPr>
          <w:color w:val="auto"/>
          <w:sz w:val="44"/>
          <w:lang w:val="fr-FR"/>
        </w:rPr>
      </w:pPr>
      <w:r w:rsidRPr="00F066AA">
        <w:rPr>
          <w:color w:val="auto"/>
          <w:sz w:val="44"/>
          <w:lang w:val="fr-FR"/>
        </w:rPr>
        <w:t>CHECK</w:t>
      </w:r>
      <w:r w:rsidR="00612730">
        <w:rPr>
          <w:color w:val="auto"/>
          <w:sz w:val="44"/>
          <w:lang w:val="fr-FR"/>
        </w:rPr>
        <w:t>-</w:t>
      </w:r>
      <w:r w:rsidRPr="00F066AA">
        <w:rPr>
          <w:color w:val="auto"/>
          <w:sz w:val="44"/>
          <w:lang w:val="fr-FR"/>
        </w:rPr>
        <w:t xml:space="preserve">LIST </w:t>
      </w:r>
      <w:r w:rsidR="00F066AA" w:rsidRPr="00F066AA">
        <w:rPr>
          <w:color w:val="auto"/>
          <w:sz w:val="44"/>
          <w:lang w:val="fr-FR"/>
        </w:rPr>
        <w:t>POUR L’HYGI</w:t>
      </w:r>
      <w:r w:rsidR="009A372F">
        <w:rPr>
          <w:color w:val="auto"/>
          <w:sz w:val="44"/>
          <w:lang w:val="fr-FR"/>
        </w:rPr>
        <w:t>È</w:t>
      </w:r>
      <w:r w:rsidR="00F066AA" w:rsidRPr="00F066AA">
        <w:rPr>
          <w:color w:val="auto"/>
          <w:sz w:val="44"/>
          <w:lang w:val="fr-FR"/>
        </w:rPr>
        <w:t xml:space="preserve">NE </w:t>
      </w:r>
      <w:r w:rsidR="00671092" w:rsidRPr="00F066AA">
        <w:rPr>
          <w:color w:val="auto"/>
          <w:sz w:val="44"/>
          <w:lang w:val="fr-FR"/>
        </w:rPr>
        <w:t>MENSTRU</w:t>
      </w:r>
      <w:r w:rsidR="00F066AA" w:rsidRPr="00F066AA">
        <w:rPr>
          <w:color w:val="auto"/>
          <w:sz w:val="44"/>
          <w:lang w:val="fr-FR"/>
        </w:rPr>
        <w:t>ELLE</w:t>
      </w:r>
      <w:r w:rsidR="00671092" w:rsidRPr="00F066AA">
        <w:rPr>
          <w:color w:val="auto"/>
          <w:sz w:val="44"/>
          <w:lang w:val="fr-FR"/>
        </w:rPr>
        <w:t xml:space="preserve"> </w:t>
      </w:r>
      <w:r w:rsidR="00F066AA" w:rsidRPr="00F066AA">
        <w:rPr>
          <w:color w:val="auto"/>
          <w:sz w:val="44"/>
          <w:lang w:val="fr-FR"/>
        </w:rPr>
        <w:t xml:space="preserve">DANS LES CONTEXTES </w:t>
      </w:r>
      <w:r w:rsidR="00671092" w:rsidRPr="00F066AA">
        <w:rPr>
          <w:color w:val="auto"/>
          <w:sz w:val="44"/>
          <w:lang w:val="fr-FR"/>
        </w:rPr>
        <w:t>HUMANITAI</w:t>
      </w:r>
      <w:r w:rsidR="00F066AA" w:rsidRPr="00F066AA">
        <w:rPr>
          <w:color w:val="auto"/>
          <w:sz w:val="44"/>
          <w:lang w:val="fr-FR"/>
        </w:rPr>
        <w:t>RES</w:t>
      </w:r>
      <w:r w:rsidR="00671092" w:rsidRPr="00F066AA">
        <w:rPr>
          <w:color w:val="auto"/>
          <w:sz w:val="44"/>
          <w:lang w:val="fr-FR"/>
        </w:rPr>
        <w:t xml:space="preserve"> </w:t>
      </w:r>
    </w:p>
    <w:p w14:paraId="4501A770" w14:textId="023CA3BB" w:rsidR="00A55C54" w:rsidRPr="00F066AA" w:rsidRDefault="00F066AA" w:rsidP="00C10676">
      <w:pPr>
        <w:rPr>
          <w:rFonts w:cs="Arial"/>
          <w:color w:val="595959"/>
          <w:sz w:val="20"/>
          <w:lang w:val="fr-FR"/>
        </w:rPr>
      </w:pPr>
      <w:r w:rsidRPr="00F066AA">
        <w:rPr>
          <w:b/>
          <w:sz w:val="20"/>
          <w:lang w:val="fr-FR"/>
        </w:rPr>
        <w:t>Gestion de l’Hygiè</w:t>
      </w:r>
      <w:r w:rsidR="00711650" w:rsidRPr="00F066AA">
        <w:rPr>
          <w:b/>
          <w:sz w:val="20"/>
          <w:lang w:val="fr-FR"/>
        </w:rPr>
        <w:t>ne M</w:t>
      </w:r>
      <w:r w:rsidRPr="00F066AA">
        <w:rPr>
          <w:b/>
          <w:sz w:val="20"/>
          <w:lang w:val="fr-FR"/>
        </w:rPr>
        <w:t>enstruelle</w:t>
      </w:r>
      <w:r w:rsidR="00711650" w:rsidRPr="00F066AA">
        <w:rPr>
          <w:b/>
          <w:sz w:val="20"/>
          <w:lang w:val="fr-FR"/>
        </w:rPr>
        <w:t xml:space="preserve"> (</w:t>
      </w:r>
      <w:r w:rsidRPr="00F066AA">
        <w:rPr>
          <w:b/>
          <w:sz w:val="20"/>
          <w:lang w:val="fr-FR"/>
        </w:rPr>
        <w:t>GHM</w:t>
      </w:r>
      <w:r w:rsidR="00711650" w:rsidRPr="00F066AA">
        <w:rPr>
          <w:b/>
          <w:sz w:val="20"/>
          <w:lang w:val="fr-FR"/>
        </w:rPr>
        <w:t xml:space="preserve">) </w:t>
      </w:r>
      <w:r w:rsidRPr="00F066AA">
        <w:rPr>
          <w:b/>
          <w:sz w:val="20"/>
          <w:lang w:val="fr-FR"/>
        </w:rPr>
        <w:t>en situation d’urgence</w:t>
      </w:r>
      <w:r w:rsidR="001A444B" w:rsidRPr="00F066AA">
        <w:rPr>
          <w:sz w:val="20"/>
          <w:lang w:val="fr-FR"/>
        </w:rPr>
        <w:t>/</w:t>
      </w:r>
      <w:r w:rsidR="001A444B" w:rsidRPr="00F066AA">
        <w:rPr>
          <w:color w:val="FF0000"/>
          <w:sz w:val="20"/>
          <w:lang w:val="fr-FR"/>
        </w:rPr>
        <w:t>F</w:t>
      </w:r>
      <w:r w:rsidRPr="00F066AA">
        <w:rPr>
          <w:color w:val="FF0000"/>
          <w:sz w:val="20"/>
          <w:lang w:val="fr-FR"/>
        </w:rPr>
        <w:t>ICR</w:t>
      </w:r>
      <w:r w:rsidR="001A444B" w:rsidRPr="00F066AA">
        <w:rPr>
          <w:sz w:val="20"/>
          <w:lang w:val="fr-FR"/>
        </w:rPr>
        <w:t>/</w:t>
      </w:r>
      <w:r w:rsidRPr="00F066AA">
        <w:rPr>
          <w:rFonts w:cs="Arial"/>
          <w:color w:val="595959"/>
          <w:sz w:val="20"/>
          <w:lang w:val="fr-FR"/>
        </w:rPr>
        <w:t>Version Pilote</w:t>
      </w:r>
      <w:r w:rsidR="00177A3D" w:rsidRPr="00F066AA">
        <w:rPr>
          <w:rFonts w:cs="Arial"/>
          <w:color w:val="595959"/>
          <w:sz w:val="20"/>
          <w:lang w:val="fr-FR"/>
        </w:rPr>
        <w:t xml:space="preserve"> </w:t>
      </w:r>
    </w:p>
    <w:p w14:paraId="3D826CF7" w14:textId="4F9B0D21" w:rsidR="00B04B93" w:rsidRPr="00F066AA" w:rsidRDefault="00B04B93" w:rsidP="00C10676">
      <w:pPr>
        <w:rPr>
          <w:rFonts w:cs="Arial"/>
          <w:color w:val="595959"/>
          <w:sz w:val="20"/>
          <w:lang w:val="fr-FR"/>
        </w:rPr>
      </w:pPr>
    </w:p>
    <w:p w14:paraId="26612369" w14:textId="016A4FDC" w:rsidR="00C36DEE" w:rsidRPr="00375028" w:rsidRDefault="00F066AA" w:rsidP="00C10676">
      <w:pPr>
        <w:rPr>
          <w:color w:val="C00000"/>
          <w:sz w:val="28"/>
          <w:lang w:val="fr-FR"/>
        </w:rPr>
      </w:pPr>
      <w:r w:rsidRPr="00375028">
        <w:rPr>
          <w:color w:val="C00000"/>
          <w:sz w:val="28"/>
          <w:lang w:val="fr-FR"/>
        </w:rPr>
        <w:t>APER</w:t>
      </w:r>
      <w:r w:rsidR="009A372F" w:rsidRPr="00375028">
        <w:rPr>
          <w:color w:val="C00000"/>
          <w:sz w:val="28"/>
          <w:lang w:val="fr-FR"/>
        </w:rPr>
        <w:t>Ç</w:t>
      </w:r>
      <w:r w:rsidRPr="00375028">
        <w:rPr>
          <w:color w:val="C00000"/>
          <w:sz w:val="28"/>
          <w:lang w:val="fr-FR"/>
        </w:rPr>
        <w:t>U</w:t>
      </w:r>
      <w:r w:rsidR="00A62A9B" w:rsidRPr="00375028">
        <w:rPr>
          <w:lang w:val="fr-FR"/>
        </w:rPr>
        <w:t xml:space="preserve"> </w:t>
      </w:r>
    </w:p>
    <w:p w14:paraId="6B829A49" w14:textId="28DA8C1A" w:rsidR="00C36DEE" w:rsidRPr="002B4DD4" w:rsidRDefault="00F066AA" w:rsidP="00C36DEE">
      <w:pPr>
        <w:rPr>
          <w:rFonts w:cs="Arial"/>
          <w:color w:val="595959"/>
          <w:sz w:val="20"/>
          <w:lang w:val="fr-FR"/>
        </w:rPr>
      </w:pPr>
      <w:r w:rsidRPr="002B4DD4">
        <w:rPr>
          <w:lang w:val="fr-FR"/>
        </w:rPr>
        <w:t>Cette</w:t>
      </w:r>
      <w:r w:rsidR="00C36DEE" w:rsidRPr="002B4DD4">
        <w:rPr>
          <w:lang w:val="fr-FR"/>
        </w:rPr>
        <w:t xml:space="preserve"> check</w:t>
      </w:r>
      <w:r w:rsidR="00612730">
        <w:rPr>
          <w:lang w:val="fr-FR"/>
        </w:rPr>
        <w:t>-</w:t>
      </w:r>
      <w:r w:rsidR="00C36DEE" w:rsidRPr="002B4DD4">
        <w:rPr>
          <w:lang w:val="fr-FR"/>
        </w:rPr>
        <w:t>list</w:t>
      </w:r>
      <w:r w:rsidR="00D74FEC" w:rsidRPr="002B4DD4">
        <w:rPr>
          <w:rStyle w:val="Lbjegyzet-hivatkozs"/>
          <w:lang w:val="fr-FR"/>
        </w:rPr>
        <w:footnoteReference w:id="1"/>
      </w:r>
      <w:r w:rsidR="00C36DEE" w:rsidRPr="002B4DD4">
        <w:rPr>
          <w:lang w:val="fr-FR"/>
        </w:rPr>
        <w:t xml:space="preserve"> </w:t>
      </w:r>
      <w:r w:rsidRPr="002B4DD4">
        <w:rPr>
          <w:lang w:val="fr-FR"/>
        </w:rPr>
        <w:t>présente les grandes lignes d’actions permettant d’assurer une réponse GHM efficace et complète</w:t>
      </w:r>
      <w:r w:rsidR="002B4DD4">
        <w:rPr>
          <w:lang w:val="fr-FR"/>
        </w:rPr>
        <w:t xml:space="preserve"> durant les crises d’urgence ou humanitaires</w:t>
      </w:r>
      <w:r w:rsidR="00C36DEE" w:rsidRPr="002B4DD4">
        <w:rPr>
          <w:lang w:val="fr-FR"/>
        </w:rPr>
        <w:t>. U</w:t>
      </w:r>
      <w:r w:rsidR="002B4DD4">
        <w:rPr>
          <w:lang w:val="fr-FR"/>
        </w:rPr>
        <w:t>tilisez-la comme un</w:t>
      </w:r>
      <w:r w:rsidR="00C36DEE" w:rsidRPr="002B4DD4">
        <w:rPr>
          <w:lang w:val="fr-FR"/>
        </w:rPr>
        <w:t xml:space="preserve"> guide </w:t>
      </w:r>
      <w:r w:rsidR="002B4DD4">
        <w:rPr>
          <w:lang w:val="fr-FR"/>
        </w:rPr>
        <w:t>ou comme un outil de réflexion</w:t>
      </w:r>
      <w:r w:rsidR="00C36DEE" w:rsidRPr="002B4DD4">
        <w:rPr>
          <w:lang w:val="fr-FR"/>
        </w:rPr>
        <w:t>.</w:t>
      </w:r>
      <w:r w:rsidR="00D74FEC" w:rsidRPr="002B4DD4">
        <w:rPr>
          <w:rFonts w:cs="Arial"/>
          <w:color w:val="595959"/>
          <w:sz w:val="20"/>
          <w:lang w:val="fr-FR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3"/>
        <w:gridCol w:w="7592"/>
        <w:gridCol w:w="941"/>
      </w:tblGrid>
      <w:tr w:rsidR="00D74FEC" w:rsidRPr="002B4DD4" w14:paraId="5DAD43E4" w14:textId="77777777" w:rsidTr="004C0997">
        <w:tc>
          <w:tcPr>
            <w:tcW w:w="483" w:type="dxa"/>
            <w:tcBorders>
              <w:top w:val="nil"/>
              <w:left w:val="nil"/>
              <w:right w:val="nil"/>
            </w:tcBorders>
          </w:tcPr>
          <w:p w14:paraId="3FE2CD19" w14:textId="77777777" w:rsidR="00D74FEC" w:rsidRPr="002B4DD4" w:rsidRDefault="00D74FEC" w:rsidP="004C0997">
            <w:pPr>
              <w:pStyle w:val="Nincstrkz"/>
              <w:rPr>
                <w:lang w:val="fr-FR"/>
              </w:rPr>
            </w:pPr>
          </w:p>
        </w:tc>
        <w:tc>
          <w:tcPr>
            <w:tcW w:w="7592" w:type="dxa"/>
            <w:tcBorders>
              <w:top w:val="nil"/>
              <w:left w:val="nil"/>
            </w:tcBorders>
          </w:tcPr>
          <w:p w14:paraId="7AE3142A" w14:textId="77777777" w:rsidR="00D74FEC" w:rsidRPr="002B4DD4" w:rsidRDefault="00D74FEC" w:rsidP="004C0997">
            <w:pPr>
              <w:pStyle w:val="Nincstrkz"/>
              <w:rPr>
                <w:lang w:val="fr-FR"/>
              </w:rPr>
            </w:pPr>
          </w:p>
        </w:tc>
        <w:tc>
          <w:tcPr>
            <w:tcW w:w="941" w:type="dxa"/>
          </w:tcPr>
          <w:p w14:paraId="74899886" w14:textId="51B3350B" w:rsidR="00D74FEC" w:rsidRPr="002B4DD4" w:rsidRDefault="004C0997" w:rsidP="004C0997">
            <w:pPr>
              <w:pStyle w:val="Nincstrkz"/>
              <w:jc w:val="center"/>
              <w:rPr>
                <w:b/>
                <w:lang w:val="fr-FR"/>
              </w:rPr>
            </w:pPr>
            <w:r w:rsidRPr="002B4DD4">
              <w:rPr>
                <w:b/>
                <w:sz w:val="30"/>
                <w:lang w:val="fr-FR"/>
              </w:rPr>
              <w:sym w:font="Wingdings" w:char="F0FC"/>
            </w:r>
          </w:p>
        </w:tc>
      </w:tr>
      <w:tr w:rsidR="00C36DEE" w:rsidRPr="008B1827" w14:paraId="3CADCD48" w14:textId="77777777" w:rsidTr="00D74FEC">
        <w:tc>
          <w:tcPr>
            <w:tcW w:w="483" w:type="dxa"/>
          </w:tcPr>
          <w:p w14:paraId="0C65D1CB" w14:textId="77777777" w:rsidR="00C36DEE" w:rsidRPr="002B4DD4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  <w:lang w:val="fr-FR"/>
              </w:rPr>
            </w:pPr>
            <w:r w:rsidRPr="002B4DD4">
              <w:rPr>
                <w:rFonts w:cs="Arial"/>
                <w:sz w:val="20"/>
                <w:lang w:val="fr-FR"/>
              </w:rPr>
              <w:t>1</w:t>
            </w:r>
          </w:p>
        </w:tc>
        <w:tc>
          <w:tcPr>
            <w:tcW w:w="7592" w:type="dxa"/>
          </w:tcPr>
          <w:p w14:paraId="392E022F" w14:textId="5EF00642" w:rsidR="00C36DEE" w:rsidRPr="002B4DD4" w:rsidRDefault="002B4DD4" w:rsidP="00B2594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 w:rsidRPr="002B4DD4">
              <w:rPr>
                <w:rFonts w:cs="Arial"/>
                <w:sz w:val="20"/>
                <w:lang w:val="fr-FR"/>
              </w:rPr>
              <w:t>Le personnel et les volontaires (hommes et femmes) ont été formés à la GHM</w:t>
            </w:r>
            <w:r w:rsidR="009A372F">
              <w:rPr>
                <w:rFonts w:cs="Arial"/>
                <w:sz w:val="20"/>
                <w:lang w:val="fr-FR"/>
              </w:rPr>
              <w:t>, ils</w:t>
            </w:r>
            <w:r w:rsidRPr="002B4DD4">
              <w:rPr>
                <w:rFonts w:cs="Arial"/>
                <w:sz w:val="20"/>
                <w:lang w:val="fr-FR"/>
              </w:rPr>
              <w:t xml:space="preserve"> sont capables et se sentent à l’aise pour discuter de la GHM et </w:t>
            </w:r>
            <w:r>
              <w:rPr>
                <w:rFonts w:cs="Arial"/>
                <w:sz w:val="20"/>
                <w:lang w:val="fr-FR"/>
              </w:rPr>
              <w:t xml:space="preserve">pour </w:t>
            </w:r>
            <w:r w:rsidRPr="002B4DD4">
              <w:rPr>
                <w:rFonts w:cs="Arial"/>
                <w:sz w:val="20"/>
                <w:lang w:val="fr-FR"/>
              </w:rPr>
              <w:t>identifier</w:t>
            </w:r>
            <w:r w:rsidR="008B1827">
              <w:rPr>
                <w:rFonts w:cs="Arial"/>
                <w:sz w:val="20"/>
                <w:lang w:val="fr-FR"/>
              </w:rPr>
              <w:t xml:space="preserve"> l</w:t>
            </w:r>
            <w:r>
              <w:rPr>
                <w:rFonts w:cs="Arial"/>
                <w:sz w:val="20"/>
                <w:lang w:val="fr-FR"/>
              </w:rPr>
              <w:t xml:space="preserve">es actions pratiques </w:t>
            </w:r>
            <w:r w:rsidR="009A372F">
              <w:rPr>
                <w:rFonts w:cs="Arial"/>
                <w:sz w:val="20"/>
                <w:lang w:val="fr-FR"/>
              </w:rPr>
              <w:t>destinées à</w:t>
            </w:r>
            <w:r>
              <w:rPr>
                <w:rFonts w:cs="Arial"/>
                <w:sz w:val="20"/>
                <w:lang w:val="fr-FR"/>
              </w:rPr>
              <w:t xml:space="preserve"> améliorer la gestion de l’hygiène menstruelle pour les femmes et les jeunes filles</w:t>
            </w:r>
            <w:r w:rsidR="00C36DEE" w:rsidRPr="002B4DD4">
              <w:rPr>
                <w:rFonts w:cs="Arial"/>
                <w:sz w:val="20"/>
                <w:lang w:val="fr-FR"/>
              </w:rPr>
              <w:t>.</w:t>
            </w:r>
          </w:p>
        </w:tc>
        <w:tc>
          <w:tcPr>
            <w:tcW w:w="941" w:type="dxa"/>
          </w:tcPr>
          <w:p w14:paraId="351689B6" w14:textId="77777777" w:rsidR="00C36DEE" w:rsidRPr="002B4DD4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0403D4FD" w14:textId="77777777" w:rsidTr="00D74FEC">
        <w:tc>
          <w:tcPr>
            <w:tcW w:w="483" w:type="dxa"/>
          </w:tcPr>
          <w:p w14:paraId="72A9058A" w14:textId="77777777" w:rsidR="00C36DEE" w:rsidRPr="002B4DD4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  <w:lang w:val="fr-FR"/>
              </w:rPr>
            </w:pPr>
            <w:r w:rsidRPr="002B4DD4">
              <w:rPr>
                <w:rFonts w:cs="Arial"/>
                <w:sz w:val="20"/>
                <w:lang w:val="fr-FR"/>
              </w:rPr>
              <w:t>2</w:t>
            </w:r>
          </w:p>
        </w:tc>
        <w:tc>
          <w:tcPr>
            <w:tcW w:w="7592" w:type="dxa"/>
          </w:tcPr>
          <w:p w14:paraId="59467CC9" w14:textId="36DD49E4" w:rsidR="00C36DEE" w:rsidRPr="002B4DD4" w:rsidRDefault="00653534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femmes et les jeunes filles sont constamment consultées sur leurs besoins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, </w:t>
            </w:r>
            <w:r>
              <w:rPr>
                <w:rFonts w:cs="Arial"/>
                <w:sz w:val="20"/>
                <w:lang w:val="fr-FR"/>
              </w:rPr>
              <w:t>les défis auxquels elles ont à faire face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 </w:t>
            </w:r>
            <w:r w:rsidR="00C70F78">
              <w:rPr>
                <w:rFonts w:cs="Arial"/>
                <w:sz w:val="20"/>
                <w:lang w:val="fr-FR"/>
              </w:rPr>
              <w:t>et les services/</w:t>
            </w:r>
            <w:r w:rsidR="009A372F">
              <w:rPr>
                <w:rFonts w:cs="Arial"/>
                <w:sz w:val="20"/>
                <w:lang w:val="fr-FR"/>
              </w:rPr>
              <w:t>produits</w:t>
            </w:r>
            <w:r w:rsidR="00C70F78">
              <w:rPr>
                <w:rFonts w:cs="Arial"/>
                <w:sz w:val="20"/>
                <w:lang w:val="fr-FR"/>
              </w:rPr>
              <w:t>/appuis offerts</w:t>
            </w:r>
            <w:r w:rsidR="009A372F">
              <w:rPr>
                <w:rFonts w:cs="Arial"/>
                <w:sz w:val="20"/>
                <w:lang w:val="fr-FR"/>
              </w:rPr>
              <w:t xml:space="preserve"> 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; </w:t>
            </w:r>
            <w:r w:rsidR="00C70F78">
              <w:rPr>
                <w:rFonts w:cs="Arial"/>
                <w:sz w:val="20"/>
                <w:lang w:val="fr-FR"/>
              </w:rPr>
              <w:t xml:space="preserve">les activités </w:t>
            </w:r>
            <w:r w:rsidR="009A372F">
              <w:rPr>
                <w:rFonts w:cs="Arial"/>
                <w:sz w:val="20"/>
                <w:lang w:val="fr-FR"/>
              </w:rPr>
              <w:t xml:space="preserve">sont </w:t>
            </w:r>
            <w:r w:rsidR="00C70F78">
              <w:rPr>
                <w:rFonts w:cs="Arial"/>
                <w:sz w:val="20"/>
                <w:lang w:val="fr-FR"/>
              </w:rPr>
              <w:t xml:space="preserve">revues et adaptées </w:t>
            </w:r>
            <w:r w:rsidR="00046DFC">
              <w:rPr>
                <w:rFonts w:cs="Arial"/>
                <w:sz w:val="20"/>
                <w:lang w:val="fr-FR"/>
              </w:rPr>
              <w:t>en fonction des</w:t>
            </w:r>
            <w:r w:rsidR="00C70F78">
              <w:rPr>
                <w:rFonts w:cs="Arial"/>
                <w:sz w:val="20"/>
                <w:lang w:val="fr-FR"/>
              </w:rPr>
              <w:t xml:space="preserve"> besoin</w:t>
            </w:r>
            <w:r w:rsidR="00046DFC">
              <w:rPr>
                <w:rFonts w:cs="Arial"/>
                <w:sz w:val="20"/>
                <w:lang w:val="fr-FR"/>
              </w:rPr>
              <w:t>s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. </w:t>
            </w:r>
          </w:p>
        </w:tc>
        <w:tc>
          <w:tcPr>
            <w:tcW w:w="941" w:type="dxa"/>
          </w:tcPr>
          <w:p w14:paraId="002E1C64" w14:textId="77777777" w:rsidR="00C36DEE" w:rsidRPr="002B4DD4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6AA01E75" w14:textId="77777777" w:rsidTr="00D74FEC">
        <w:tc>
          <w:tcPr>
            <w:tcW w:w="483" w:type="dxa"/>
          </w:tcPr>
          <w:p w14:paraId="220EAB48" w14:textId="77777777" w:rsidR="00C36DEE" w:rsidRPr="002B4DD4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  <w:lang w:val="fr-FR"/>
              </w:rPr>
            </w:pPr>
            <w:r w:rsidRPr="002B4DD4">
              <w:rPr>
                <w:rFonts w:cs="Arial"/>
                <w:sz w:val="20"/>
                <w:lang w:val="fr-FR"/>
              </w:rPr>
              <w:t>3</w:t>
            </w:r>
          </w:p>
        </w:tc>
        <w:tc>
          <w:tcPr>
            <w:tcW w:w="7592" w:type="dxa"/>
          </w:tcPr>
          <w:p w14:paraId="27CDA1F1" w14:textId="7024ACB7" w:rsidR="00C36DEE" w:rsidRPr="002B4DD4" w:rsidRDefault="00C70F78" w:rsidP="00366464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actions de gestion de l’hygiène menstruelle sont bien coordonnées à la fois entre les secteurs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 (</w:t>
            </w:r>
            <w:r w:rsidR="00612730">
              <w:rPr>
                <w:rFonts w:cs="Arial"/>
                <w:sz w:val="20"/>
                <w:lang w:val="fr-FR"/>
              </w:rPr>
              <w:t>ex.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 </w:t>
            </w:r>
            <w:r w:rsidR="00366464">
              <w:rPr>
                <w:rFonts w:cs="Arial"/>
                <w:sz w:val="20"/>
                <w:lang w:val="fr-FR"/>
              </w:rPr>
              <w:t>Eau, Hygiène, Assainissement, Protection Genre et Inclusion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 </w:t>
            </w:r>
            <w:r>
              <w:rPr>
                <w:rFonts w:cs="Arial"/>
                <w:sz w:val="20"/>
                <w:lang w:val="fr-FR"/>
              </w:rPr>
              <w:t>et santé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) </w:t>
            </w:r>
            <w:r>
              <w:rPr>
                <w:rFonts w:cs="Arial"/>
                <w:sz w:val="20"/>
                <w:lang w:val="fr-FR"/>
              </w:rPr>
              <w:t>et entre les acteurs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 (</w:t>
            </w:r>
            <w:r w:rsidR="00612730">
              <w:rPr>
                <w:rFonts w:cs="Arial"/>
                <w:sz w:val="20"/>
                <w:lang w:val="fr-FR"/>
              </w:rPr>
              <w:t>ex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. </w:t>
            </w:r>
            <w:r>
              <w:rPr>
                <w:rFonts w:cs="Arial"/>
                <w:sz w:val="20"/>
                <w:lang w:val="fr-FR"/>
              </w:rPr>
              <w:t>CR</w:t>
            </w:r>
            <w:r w:rsidR="008B1827">
              <w:rPr>
                <w:rFonts w:cs="Arial"/>
                <w:sz w:val="20"/>
                <w:lang w:val="fr-FR"/>
              </w:rPr>
              <w:t>/</w:t>
            </w:r>
            <w:r>
              <w:rPr>
                <w:rFonts w:cs="Arial"/>
                <w:sz w:val="20"/>
                <w:lang w:val="fr-FR"/>
              </w:rPr>
              <w:t>CR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, </w:t>
            </w:r>
            <w:r w:rsidR="00366464">
              <w:rPr>
                <w:rFonts w:cs="Arial"/>
                <w:sz w:val="20"/>
                <w:lang w:val="fr-FR"/>
              </w:rPr>
              <w:t>O</w:t>
            </w:r>
            <w:r>
              <w:rPr>
                <w:rFonts w:cs="Arial"/>
                <w:sz w:val="20"/>
                <w:lang w:val="fr-FR"/>
              </w:rPr>
              <w:t>N</w:t>
            </w:r>
            <w:r w:rsidR="00C36DEE" w:rsidRPr="002B4DD4">
              <w:rPr>
                <w:rFonts w:cs="Arial"/>
                <w:sz w:val="20"/>
                <w:lang w:val="fr-FR"/>
              </w:rPr>
              <w:t>U, go</w:t>
            </w:r>
            <w:r>
              <w:rPr>
                <w:rFonts w:cs="Arial"/>
                <w:sz w:val="20"/>
                <w:lang w:val="fr-FR"/>
              </w:rPr>
              <w:t>u</w:t>
            </w:r>
            <w:r w:rsidR="00C36DEE" w:rsidRPr="002B4DD4">
              <w:rPr>
                <w:rFonts w:cs="Arial"/>
                <w:sz w:val="20"/>
                <w:lang w:val="fr-FR"/>
              </w:rPr>
              <w:t>vern</w:t>
            </w:r>
            <w:r>
              <w:rPr>
                <w:rFonts w:cs="Arial"/>
                <w:sz w:val="20"/>
                <w:lang w:val="fr-FR"/>
              </w:rPr>
              <w:t>e</w:t>
            </w:r>
            <w:r w:rsidR="00C36DEE" w:rsidRPr="002B4DD4">
              <w:rPr>
                <w:rFonts w:cs="Arial"/>
                <w:sz w:val="20"/>
                <w:lang w:val="fr-FR"/>
              </w:rPr>
              <w:t xml:space="preserve">ment etc.). </w:t>
            </w:r>
          </w:p>
        </w:tc>
        <w:tc>
          <w:tcPr>
            <w:tcW w:w="941" w:type="dxa"/>
          </w:tcPr>
          <w:p w14:paraId="16CA515D" w14:textId="77777777" w:rsidR="00C36DEE" w:rsidRPr="002B4DD4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3658C1E1" w14:textId="77777777" w:rsidTr="00D74FEC">
        <w:tc>
          <w:tcPr>
            <w:tcW w:w="483" w:type="dxa"/>
          </w:tcPr>
          <w:p w14:paraId="1BBD6382" w14:textId="77777777" w:rsidR="00C36DEE" w:rsidRPr="002B4DD4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  <w:lang w:val="fr-FR"/>
              </w:rPr>
            </w:pPr>
            <w:r w:rsidRPr="002B4DD4">
              <w:rPr>
                <w:rFonts w:cs="Arial"/>
                <w:sz w:val="20"/>
                <w:lang w:val="fr-FR"/>
              </w:rPr>
              <w:t>4</w:t>
            </w:r>
          </w:p>
        </w:tc>
        <w:tc>
          <w:tcPr>
            <w:tcW w:w="7592" w:type="dxa"/>
          </w:tcPr>
          <w:p w14:paraId="4B9F2AB9" w14:textId="04F4E54E" w:rsidR="00C36DEE" w:rsidRPr="002B4DD4" w:rsidRDefault="00C70F78" w:rsidP="00B2594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femmes et les adolescentes ont accès et utilisent d</w:t>
            </w:r>
            <w:r w:rsidR="009A372F">
              <w:rPr>
                <w:rFonts w:cs="Arial"/>
                <w:sz w:val="20"/>
                <w:lang w:val="fr-FR"/>
              </w:rPr>
              <w:t>es produits</w:t>
            </w:r>
            <w:r>
              <w:rPr>
                <w:rFonts w:cs="Arial"/>
                <w:sz w:val="20"/>
                <w:lang w:val="fr-FR"/>
              </w:rPr>
              <w:t xml:space="preserve"> sanitaire</w:t>
            </w:r>
            <w:r w:rsidR="009A372F">
              <w:rPr>
                <w:rFonts w:cs="Arial"/>
                <w:sz w:val="20"/>
                <w:lang w:val="fr-FR"/>
              </w:rPr>
              <w:t>s</w:t>
            </w:r>
            <w:r>
              <w:rPr>
                <w:rFonts w:cs="Arial"/>
                <w:sz w:val="20"/>
                <w:lang w:val="fr-FR"/>
              </w:rPr>
              <w:t xml:space="preserve"> adapté</w:t>
            </w:r>
            <w:r w:rsidR="00C36DEE" w:rsidRPr="002B4DD4">
              <w:rPr>
                <w:rFonts w:cs="Arial"/>
                <w:sz w:val="20"/>
                <w:lang w:val="fr-FR"/>
              </w:rPr>
              <w:t>s (</w:t>
            </w:r>
            <w:r>
              <w:rPr>
                <w:rFonts w:cs="Arial"/>
                <w:sz w:val="20"/>
                <w:lang w:val="fr-FR"/>
              </w:rPr>
              <w:t>sur la base de leurs préférences et du contexte</w:t>
            </w:r>
            <w:r w:rsidR="00C36DEE" w:rsidRPr="002B4DD4">
              <w:rPr>
                <w:rFonts w:cs="Arial"/>
                <w:sz w:val="20"/>
                <w:lang w:val="fr-FR"/>
              </w:rPr>
              <w:t>).</w:t>
            </w:r>
          </w:p>
        </w:tc>
        <w:tc>
          <w:tcPr>
            <w:tcW w:w="941" w:type="dxa"/>
          </w:tcPr>
          <w:p w14:paraId="3436D366" w14:textId="77777777" w:rsidR="00C36DEE" w:rsidRPr="002B4DD4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19F2412D" w14:textId="77777777" w:rsidTr="00D74FEC">
        <w:tc>
          <w:tcPr>
            <w:tcW w:w="483" w:type="dxa"/>
          </w:tcPr>
          <w:p w14:paraId="061295B4" w14:textId="77777777" w:rsidR="00C36DEE" w:rsidRPr="00F066AA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  <w:lang w:val="fr-FR"/>
              </w:rPr>
            </w:pPr>
            <w:r w:rsidRPr="00F066AA">
              <w:rPr>
                <w:rFonts w:cs="Arial"/>
                <w:sz w:val="20"/>
                <w:lang w:val="fr-FR"/>
              </w:rPr>
              <w:t>5</w:t>
            </w:r>
          </w:p>
        </w:tc>
        <w:tc>
          <w:tcPr>
            <w:tcW w:w="7592" w:type="dxa"/>
          </w:tcPr>
          <w:p w14:paraId="1205E060" w14:textId="66A9F679" w:rsidR="00C36DEE" w:rsidRPr="00F066AA" w:rsidRDefault="00C70F78" w:rsidP="008B198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kits de G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HM </w:t>
            </w:r>
            <w:r>
              <w:rPr>
                <w:rFonts w:cs="Arial"/>
                <w:sz w:val="20"/>
                <w:lang w:val="fr-FR"/>
              </w:rPr>
              <w:t xml:space="preserve">ou </w:t>
            </w:r>
            <w:r w:rsidR="009A372F">
              <w:rPr>
                <w:rFonts w:cs="Arial"/>
                <w:sz w:val="20"/>
                <w:lang w:val="fr-FR"/>
              </w:rPr>
              <w:t xml:space="preserve">les </w:t>
            </w:r>
            <w:r>
              <w:rPr>
                <w:rFonts w:cs="Arial"/>
                <w:sz w:val="20"/>
                <w:lang w:val="fr-FR"/>
              </w:rPr>
              <w:t>kits de dignité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 (</w:t>
            </w:r>
            <w:r>
              <w:rPr>
                <w:rFonts w:cs="Arial"/>
                <w:sz w:val="20"/>
                <w:lang w:val="fr-FR"/>
              </w:rPr>
              <w:t>qui contiennent d</w:t>
            </w:r>
            <w:r w:rsidR="009A372F">
              <w:rPr>
                <w:rFonts w:cs="Arial"/>
                <w:sz w:val="20"/>
                <w:lang w:val="fr-FR"/>
              </w:rPr>
              <w:t>es produits</w:t>
            </w:r>
            <w:r>
              <w:rPr>
                <w:rFonts w:cs="Arial"/>
                <w:sz w:val="20"/>
                <w:lang w:val="fr-FR"/>
              </w:rPr>
              <w:t xml:space="preserve"> sanitaire</w:t>
            </w:r>
            <w:r w:rsidR="009A372F">
              <w:rPr>
                <w:rFonts w:cs="Arial"/>
                <w:sz w:val="20"/>
                <w:lang w:val="fr-FR"/>
              </w:rPr>
              <w:t>s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) </w:t>
            </w:r>
            <w:r>
              <w:rPr>
                <w:rFonts w:cs="Arial"/>
                <w:sz w:val="20"/>
                <w:lang w:val="fr-FR"/>
              </w:rPr>
              <w:t>comprennent tous au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 minimum </w:t>
            </w:r>
            <w:r>
              <w:rPr>
                <w:rFonts w:cs="Arial"/>
                <w:sz w:val="20"/>
                <w:lang w:val="fr-FR"/>
              </w:rPr>
              <w:t xml:space="preserve">des </w:t>
            </w:r>
            <w:r w:rsidR="009A372F">
              <w:rPr>
                <w:rFonts w:cs="Arial"/>
                <w:sz w:val="20"/>
                <w:lang w:val="fr-FR"/>
              </w:rPr>
              <w:t>produits</w:t>
            </w:r>
            <w:r>
              <w:rPr>
                <w:rFonts w:cs="Arial"/>
                <w:sz w:val="20"/>
                <w:lang w:val="fr-FR"/>
              </w:rPr>
              <w:t xml:space="preserve"> liés à l’hygiène menstruelle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 – </w:t>
            </w:r>
            <w:r w:rsidR="00366464">
              <w:rPr>
                <w:rFonts w:cs="Arial"/>
                <w:sz w:val="20"/>
                <w:lang w:val="fr-FR"/>
              </w:rPr>
              <w:t>y compris l</w:t>
            </w:r>
            <w:r w:rsidR="008B1980">
              <w:rPr>
                <w:rFonts w:cs="Arial"/>
                <w:sz w:val="20"/>
                <w:lang w:val="fr-FR"/>
              </w:rPr>
              <w:t xml:space="preserve">es éléments </w:t>
            </w:r>
            <w:r>
              <w:rPr>
                <w:rFonts w:cs="Arial"/>
                <w:sz w:val="20"/>
                <w:lang w:val="fr-FR"/>
              </w:rPr>
              <w:t>permettant de laver, de sécher et de jeter</w:t>
            </w:r>
            <w:r w:rsidR="00366464">
              <w:rPr>
                <w:rFonts w:cs="Arial"/>
                <w:sz w:val="20"/>
                <w:lang w:val="fr-FR"/>
              </w:rPr>
              <w:t xml:space="preserve"> et les produits sanitaires.</w:t>
            </w:r>
          </w:p>
        </w:tc>
        <w:tc>
          <w:tcPr>
            <w:tcW w:w="941" w:type="dxa"/>
          </w:tcPr>
          <w:p w14:paraId="067D8F61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4309A8D1" w14:textId="77777777" w:rsidTr="00D74FEC">
        <w:tc>
          <w:tcPr>
            <w:tcW w:w="483" w:type="dxa"/>
          </w:tcPr>
          <w:p w14:paraId="7DBB1304" w14:textId="77777777" w:rsidR="00C36DEE" w:rsidRPr="00F066AA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  <w:lang w:val="fr-FR"/>
              </w:rPr>
            </w:pPr>
            <w:r w:rsidRPr="00F066AA">
              <w:rPr>
                <w:rFonts w:cs="Arial"/>
                <w:sz w:val="20"/>
                <w:lang w:val="fr-FR"/>
              </w:rPr>
              <w:t>6</w:t>
            </w:r>
          </w:p>
        </w:tc>
        <w:tc>
          <w:tcPr>
            <w:tcW w:w="7592" w:type="dxa"/>
          </w:tcPr>
          <w:p w14:paraId="0CD57F16" w14:textId="3C51EDCE" w:rsidR="00C36DEE" w:rsidRPr="00F066AA" w:rsidRDefault="00C70F78" w:rsidP="00B2594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Des séances de formation sur l’utilisation, le soin et l’élimination des </w:t>
            </w:r>
            <w:r w:rsidR="009A372F">
              <w:rPr>
                <w:rFonts w:cs="Arial"/>
                <w:sz w:val="20"/>
                <w:lang w:val="fr-FR"/>
              </w:rPr>
              <w:t>produits</w:t>
            </w:r>
            <w:r>
              <w:rPr>
                <w:rFonts w:cs="Arial"/>
                <w:sz w:val="20"/>
                <w:lang w:val="fr-FR"/>
              </w:rPr>
              <w:t xml:space="preserve"> liés à l’hygiène menstruelle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, </w:t>
            </w:r>
            <w:r w:rsidR="009A372F">
              <w:rPr>
                <w:rFonts w:cs="Arial"/>
                <w:sz w:val="20"/>
                <w:lang w:val="fr-FR"/>
              </w:rPr>
              <w:t xml:space="preserve">ainsi que </w:t>
            </w:r>
            <w:r>
              <w:rPr>
                <w:rFonts w:cs="Arial"/>
                <w:sz w:val="20"/>
                <w:lang w:val="fr-FR"/>
              </w:rPr>
              <w:t>sur la promotion de l’</w:t>
            </w:r>
            <w:r w:rsidR="00C36DEE" w:rsidRPr="00F066AA">
              <w:rPr>
                <w:rFonts w:cs="Arial"/>
                <w:sz w:val="20"/>
                <w:lang w:val="fr-FR"/>
              </w:rPr>
              <w:t>hygi</w:t>
            </w:r>
            <w:r>
              <w:rPr>
                <w:rFonts w:cs="Arial"/>
                <w:sz w:val="20"/>
                <w:lang w:val="fr-FR"/>
              </w:rPr>
              <w:t>è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ne </w:t>
            </w:r>
            <w:r>
              <w:rPr>
                <w:rFonts w:cs="Arial"/>
                <w:sz w:val="20"/>
                <w:lang w:val="fr-FR"/>
              </w:rPr>
              <w:t>liée à la santé sexuelle et reproductive</w:t>
            </w:r>
            <w:r w:rsidR="00D03FB3">
              <w:rPr>
                <w:rFonts w:cs="Arial"/>
                <w:sz w:val="20"/>
                <w:lang w:val="fr-FR"/>
              </w:rPr>
              <w:t xml:space="preserve"> sont assurées en même temps que la distribution de ces </w:t>
            </w:r>
            <w:r w:rsidR="009A372F">
              <w:rPr>
                <w:rFonts w:cs="Arial"/>
                <w:sz w:val="20"/>
                <w:lang w:val="fr-FR"/>
              </w:rPr>
              <w:t>produits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.  </w:t>
            </w:r>
          </w:p>
        </w:tc>
        <w:tc>
          <w:tcPr>
            <w:tcW w:w="941" w:type="dxa"/>
          </w:tcPr>
          <w:p w14:paraId="75792191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1B2E7BA1" w14:textId="77777777" w:rsidTr="00D74FEC">
        <w:tc>
          <w:tcPr>
            <w:tcW w:w="483" w:type="dxa"/>
          </w:tcPr>
          <w:p w14:paraId="649E3E8D" w14:textId="77777777" w:rsidR="00C36DEE" w:rsidRPr="00F066AA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  <w:lang w:val="fr-FR"/>
              </w:rPr>
            </w:pPr>
            <w:r w:rsidRPr="00F066AA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7592" w:type="dxa"/>
          </w:tcPr>
          <w:p w14:paraId="25D2A541" w14:textId="1D272486" w:rsidR="00C36DEE" w:rsidRPr="00F066AA" w:rsidRDefault="00C36DEE" w:rsidP="00727E5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 w:rsidRPr="00F066AA">
              <w:rPr>
                <w:rFonts w:cs="Arial"/>
                <w:sz w:val="20"/>
                <w:lang w:val="fr-FR"/>
              </w:rPr>
              <w:t>L</w:t>
            </w:r>
            <w:r w:rsidR="00D03FB3">
              <w:rPr>
                <w:rFonts w:cs="Arial"/>
                <w:sz w:val="20"/>
                <w:lang w:val="fr-FR"/>
              </w:rPr>
              <w:t xml:space="preserve">es toilettes, les </w:t>
            </w:r>
            <w:r w:rsidR="009A372F">
              <w:rPr>
                <w:rFonts w:cs="Arial"/>
                <w:sz w:val="20"/>
                <w:lang w:val="fr-FR"/>
              </w:rPr>
              <w:t>douches</w:t>
            </w:r>
            <w:r w:rsidR="00D03FB3">
              <w:rPr>
                <w:rFonts w:cs="Arial"/>
                <w:sz w:val="20"/>
                <w:lang w:val="fr-FR"/>
              </w:rPr>
              <w:t xml:space="preserve"> et les installations de gestion des déchets solides sont</w:t>
            </w:r>
            <w:r w:rsidR="00612730">
              <w:rPr>
                <w:rFonts w:cs="Arial"/>
                <w:sz w:val="20"/>
                <w:lang w:val="fr-FR"/>
              </w:rPr>
              <w:t> « </w:t>
            </w:r>
            <w:r w:rsidR="00D03FB3">
              <w:rPr>
                <w:rFonts w:cs="Arial"/>
                <w:sz w:val="20"/>
                <w:lang w:val="fr-FR"/>
              </w:rPr>
              <w:t>adapté</w:t>
            </w:r>
            <w:r w:rsidR="009A372F">
              <w:rPr>
                <w:rFonts w:cs="Arial"/>
                <w:sz w:val="20"/>
                <w:lang w:val="fr-FR"/>
              </w:rPr>
              <w:t>e</w:t>
            </w:r>
            <w:r w:rsidR="00D03FB3">
              <w:rPr>
                <w:rFonts w:cs="Arial"/>
                <w:sz w:val="20"/>
                <w:lang w:val="fr-FR"/>
              </w:rPr>
              <w:t>s aux besoins des femmes</w:t>
            </w:r>
            <w:r w:rsidR="00612730">
              <w:rPr>
                <w:rFonts w:cs="Arial"/>
                <w:sz w:val="20"/>
                <w:lang w:val="fr-FR"/>
              </w:rPr>
              <w:t> »</w:t>
            </w:r>
            <w:r w:rsidRPr="00F066AA">
              <w:rPr>
                <w:rFonts w:cs="Arial"/>
                <w:sz w:val="20"/>
                <w:lang w:val="fr-FR"/>
              </w:rPr>
              <w:t xml:space="preserve"> </w:t>
            </w:r>
            <w:r w:rsidR="00D03FB3">
              <w:rPr>
                <w:rFonts w:cs="Arial"/>
                <w:sz w:val="20"/>
                <w:lang w:val="fr-FR"/>
              </w:rPr>
              <w:t>et satisfont un</w:t>
            </w:r>
            <w:r w:rsidRPr="00F066AA">
              <w:rPr>
                <w:rFonts w:cs="Arial"/>
                <w:sz w:val="20"/>
                <w:lang w:val="fr-FR"/>
              </w:rPr>
              <w:t xml:space="preserve"> minimum </w:t>
            </w:r>
            <w:r w:rsidR="00D03FB3">
              <w:rPr>
                <w:rFonts w:cs="Arial"/>
                <w:sz w:val="20"/>
                <w:lang w:val="fr-FR"/>
              </w:rPr>
              <w:t>d’obligations</w:t>
            </w:r>
            <w:r w:rsidRPr="00F066AA">
              <w:rPr>
                <w:rFonts w:cs="Arial"/>
                <w:sz w:val="20"/>
                <w:lang w:val="fr-FR"/>
              </w:rPr>
              <w:t xml:space="preserve"> (</w:t>
            </w:r>
            <w:r w:rsidR="008B1980">
              <w:rPr>
                <w:rFonts w:cs="Arial"/>
                <w:sz w:val="20"/>
                <w:lang w:val="fr-FR"/>
              </w:rPr>
              <w:t>n</w:t>
            </w:r>
            <w:r w:rsidR="0021450C">
              <w:rPr>
                <w:rFonts w:cs="Arial"/>
                <w:sz w:val="20"/>
                <w:lang w:val="fr-FR"/>
              </w:rPr>
              <w:t>otamment des installations</w:t>
            </w:r>
            <w:r w:rsidR="008B1980">
              <w:rPr>
                <w:rFonts w:cs="Arial"/>
                <w:sz w:val="20"/>
                <w:lang w:val="fr-FR"/>
              </w:rPr>
              <w:t xml:space="preserve"> différentes en fonction du sexe</w:t>
            </w:r>
            <w:r w:rsidR="00727E5A">
              <w:rPr>
                <w:rFonts w:cs="Arial"/>
                <w:sz w:val="20"/>
                <w:lang w:val="fr-FR"/>
              </w:rPr>
              <w:t xml:space="preserve"> et </w:t>
            </w:r>
            <w:r w:rsidR="00D03FB3">
              <w:rPr>
                <w:rFonts w:cs="Arial"/>
                <w:sz w:val="20"/>
                <w:lang w:val="fr-FR"/>
              </w:rPr>
              <w:t>des parties accessibles aux personnes handicapées</w:t>
            </w:r>
            <w:r w:rsidRPr="00F066AA">
              <w:rPr>
                <w:rFonts w:cs="Arial"/>
                <w:sz w:val="20"/>
                <w:lang w:val="fr-FR"/>
              </w:rPr>
              <w:t xml:space="preserve">) </w:t>
            </w:r>
            <w:r w:rsidR="00D03FB3">
              <w:rPr>
                <w:rFonts w:cs="Arial"/>
                <w:sz w:val="20"/>
                <w:lang w:val="fr-FR"/>
              </w:rPr>
              <w:t>de façon à ce que les femmes et les jeunes filles disposent d’installations indépendantes et sûres</w:t>
            </w:r>
            <w:r w:rsidR="008B1980">
              <w:rPr>
                <w:rFonts w:cs="Arial"/>
                <w:sz w:val="20"/>
                <w:lang w:val="fr-FR"/>
              </w:rPr>
              <w:t>,</w:t>
            </w:r>
            <w:r w:rsidR="00D03FB3">
              <w:rPr>
                <w:rFonts w:cs="Arial"/>
                <w:sz w:val="20"/>
                <w:lang w:val="fr-FR"/>
              </w:rPr>
              <w:t xml:space="preserve"> qu’elles se sentiront à l’aise d’utiliser</w:t>
            </w:r>
            <w:r w:rsidR="009A372F">
              <w:rPr>
                <w:rFonts w:cs="Arial"/>
                <w:sz w:val="20"/>
                <w:lang w:val="fr-FR"/>
              </w:rPr>
              <w:t xml:space="preserve"> de</w:t>
            </w:r>
            <w:r w:rsidR="00D03FB3">
              <w:rPr>
                <w:rFonts w:cs="Arial"/>
                <w:sz w:val="20"/>
                <w:lang w:val="fr-FR"/>
              </w:rPr>
              <w:t xml:space="preserve"> jour </w:t>
            </w:r>
            <w:r w:rsidR="009A372F">
              <w:rPr>
                <w:rFonts w:cs="Arial"/>
                <w:sz w:val="20"/>
                <w:lang w:val="fr-FR"/>
              </w:rPr>
              <w:t>comme de</w:t>
            </w:r>
            <w:r w:rsidR="00D03FB3">
              <w:rPr>
                <w:rFonts w:cs="Arial"/>
                <w:sz w:val="20"/>
                <w:lang w:val="fr-FR"/>
              </w:rPr>
              <w:t xml:space="preserve"> nuit pour gérer leurs règles</w:t>
            </w:r>
            <w:r w:rsidRPr="00F066AA">
              <w:rPr>
                <w:rFonts w:cs="Arial"/>
                <w:sz w:val="20"/>
                <w:lang w:val="fr-FR"/>
              </w:rPr>
              <w:t xml:space="preserve">. </w:t>
            </w:r>
          </w:p>
        </w:tc>
        <w:tc>
          <w:tcPr>
            <w:tcW w:w="941" w:type="dxa"/>
          </w:tcPr>
          <w:p w14:paraId="1D1A7606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6BB52D69" w14:textId="77777777" w:rsidTr="00D74FEC">
        <w:tc>
          <w:tcPr>
            <w:tcW w:w="483" w:type="dxa"/>
          </w:tcPr>
          <w:p w14:paraId="614992D9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  <w:r w:rsidRPr="00F066AA">
              <w:rPr>
                <w:rFonts w:cs="Arial"/>
                <w:sz w:val="20"/>
                <w:lang w:val="fr-FR"/>
              </w:rPr>
              <w:t>8</w:t>
            </w:r>
          </w:p>
        </w:tc>
        <w:tc>
          <w:tcPr>
            <w:tcW w:w="7592" w:type="dxa"/>
          </w:tcPr>
          <w:p w14:paraId="5E9373FC" w14:textId="71AAD7F8" w:rsidR="00C36DEE" w:rsidRPr="00F066AA" w:rsidRDefault="00D03FB3" w:rsidP="008B198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 w:rsidRPr="00F066AA">
              <w:rPr>
                <w:rFonts w:cs="Arial"/>
                <w:sz w:val="20"/>
                <w:lang w:val="fr-FR"/>
              </w:rPr>
              <w:t>L</w:t>
            </w:r>
            <w:r>
              <w:rPr>
                <w:rFonts w:cs="Arial"/>
                <w:sz w:val="20"/>
                <w:lang w:val="fr-FR"/>
              </w:rPr>
              <w:t xml:space="preserve">es toilettes, les </w:t>
            </w:r>
            <w:r w:rsidR="009A372F">
              <w:rPr>
                <w:rFonts w:cs="Arial"/>
                <w:sz w:val="20"/>
                <w:lang w:val="fr-FR"/>
              </w:rPr>
              <w:t>douches</w:t>
            </w:r>
            <w:r>
              <w:rPr>
                <w:rFonts w:cs="Arial"/>
                <w:sz w:val="20"/>
                <w:lang w:val="fr-FR"/>
              </w:rPr>
              <w:t xml:space="preserve"> et les installations de gestion des déchets solides sont</w:t>
            </w:r>
            <w:r w:rsidRPr="00F066AA">
              <w:rPr>
                <w:rFonts w:cs="Arial"/>
                <w:sz w:val="20"/>
                <w:lang w:val="fr-FR"/>
              </w:rPr>
              <w:t xml:space="preserve"> </w:t>
            </w:r>
            <w:r>
              <w:rPr>
                <w:rFonts w:cs="Arial"/>
                <w:sz w:val="20"/>
                <w:lang w:val="fr-FR"/>
              </w:rPr>
              <w:t>régulièrement nettoyées et bien entretenues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, </w:t>
            </w:r>
            <w:r>
              <w:rPr>
                <w:rFonts w:cs="Arial"/>
                <w:sz w:val="20"/>
                <w:lang w:val="fr-FR"/>
              </w:rPr>
              <w:t>et les personnes qui traitent les déchets menstruels portent des vêtements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 </w:t>
            </w:r>
            <w:r w:rsidR="008B1980">
              <w:rPr>
                <w:rFonts w:cs="Arial"/>
                <w:sz w:val="20"/>
                <w:lang w:val="fr-FR"/>
              </w:rPr>
              <w:t>de protection</w:t>
            </w:r>
            <w:r>
              <w:rPr>
                <w:rFonts w:cs="Arial"/>
                <w:sz w:val="20"/>
                <w:lang w:val="fr-FR"/>
              </w:rPr>
              <w:t xml:space="preserve"> adaptés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. </w:t>
            </w:r>
          </w:p>
        </w:tc>
        <w:tc>
          <w:tcPr>
            <w:tcW w:w="941" w:type="dxa"/>
          </w:tcPr>
          <w:p w14:paraId="59D56CA0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2623C242" w14:textId="77777777" w:rsidTr="00D74FEC">
        <w:tc>
          <w:tcPr>
            <w:tcW w:w="483" w:type="dxa"/>
          </w:tcPr>
          <w:p w14:paraId="209BF594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  <w:r w:rsidRPr="00F066AA">
              <w:rPr>
                <w:rFonts w:cs="Arial"/>
                <w:sz w:val="20"/>
                <w:lang w:val="fr-FR"/>
              </w:rPr>
              <w:t>9</w:t>
            </w:r>
          </w:p>
        </w:tc>
        <w:tc>
          <w:tcPr>
            <w:tcW w:w="7592" w:type="dxa"/>
          </w:tcPr>
          <w:p w14:paraId="1A28FFEA" w14:textId="3DBD72F7" w:rsidR="00C36DEE" w:rsidRPr="00F066AA" w:rsidRDefault="00D03FB3" w:rsidP="00B2594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Les écoles et les </w:t>
            </w:r>
            <w:r w:rsidR="00C36DEE" w:rsidRPr="00F066AA">
              <w:rPr>
                <w:rFonts w:cs="Arial"/>
                <w:sz w:val="20"/>
                <w:lang w:val="fr-FR"/>
              </w:rPr>
              <w:t>institutions (</w:t>
            </w:r>
            <w:r w:rsidR="00612730">
              <w:rPr>
                <w:rFonts w:cs="Arial"/>
                <w:sz w:val="20"/>
                <w:lang w:val="fr-FR"/>
              </w:rPr>
              <w:t>ex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. </w:t>
            </w:r>
            <w:r>
              <w:rPr>
                <w:rFonts w:cs="Arial"/>
                <w:sz w:val="20"/>
                <w:lang w:val="fr-FR"/>
              </w:rPr>
              <w:t>cliniques de santé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) </w:t>
            </w:r>
            <w:r>
              <w:rPr>
                <w:rFonts w:cs="Arial"/>
                <w:sz w:val="20"/>
                <w:lang w:val="fr-FR"/>
              </w:rPr>
              <w:t xml:space="preserve">dans les contextes d’urgence disposent d’eau, de sanitaires et d’installations d’hygiène </w:t>
            </w:r>
            <w:r w:rsidR="00C1780C">
              <w:rPr>
                <w:rFonts w:cs="Arial"/>
                <w:sz w:val="20"/>
                <w:lang w:val="fr-FR"/>
              </w:rPr>
              <w:t xml:space="preserve">appropriés et </w:t>
            </w:r>
            <w:r>
              <w:rPr>
                <w:rFonts w:cs="Arial"/>
                <w:sz w:val="20"/>
                <w:lang w:val="fr-FR"/>
              </w:rPr>
              <w:t xml:space="preserve">adaptés </w:t>
            </w:r>
            <w:r w:rsidR="00C1780C">
              <w:rPr>
                <w:rFonts w:cs="Arial"/>
                <w:sz w:val="20"/>
                <w:lang w:val="fr-FR"/>
              </w:rPr>
              <w:t>aux femmes afin d’aider les jeunes filles à gérer leurs règles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. </w:t>
            </w:r>
          </w:p>
        </w:tc>
        <w:tc>
          <w:tcPr>
            <w:tcW w:w="941" w:type="dxa"/>
          </w:tcPr>
          <w:p w14:paraId="31EE82FC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47F2BD77" w14:textId="77777777" w:rsidTr="00D74FEC">
        <w:tc>
          <w:tcPr>
            <w:tcW w:w="483" w:type="dxa"/>
          </w:tcPr>
          <w:p w14:paraId="44E0271B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  <w:r w:rsidRPr="00F066AA">
              <w:rPr>
                <w:rFonts w:cs="Arial"/>
                <w:sz w:val="20"/>
                <w:lang w:val="fr-FR"/>
              </w:rPr>
              <w:t>10</w:t>
            </w:r>
          </w:p>
        </w:tc>
        <w:tc>
          <w:tcPr>
            <w:tcW w:w="7592" w:type="dxa"/>
          </w:tcPr>
          <w:p w14:paraId="66491B6F" w14:textId="03E0CCAD" w:rsidR="00C36DEE" w:rsidRPr="00F066AA" w:rsidRDefault="009A372F" w:rsidP="00B2594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Dans les contextes d’urgence, l</w:t>
            </w:r>
            <w:r w:rsidR="00C1780C">
              <w:rPr>
                <w:rFonts w:cs="Arial"/>
                <w:sz w:val="20"/>
                <w:lang w:val="fr-FR"/>
              </w:rPr>
              <w:t>es enseignants ont été formés pour aider les jeunes filles à gérer leurs règles</w:t>
            </w:r>
            <w:r w:rsidR="00C36DEE" w:rsidRPr="00F066AA">
              <w:rPr>
                <w:rFonts w:cs="Arial"/>
                <w:sz w:val="20"/>
                <w:lang w:val="fr-FR"/>
              </w:rPr>
              <w:t>.</w:t>
            </w:r>
          </w:p>
        </w:tc>
        <w:tc>
          <w:tcPr>
            <w:tcW w:w="941" w:type="dxa"/>
          </w:tcPr>
          <w:p w14:paraId="1DAE6F5B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  <w:tr w:rsidR="00C36DEE" w:rsidRPr="008B1827" w14:paraId="30669EB3" w14:textId="77777777" w:rsidTr="00D74FEC">
        <w:tc>
          <w:tcPr>
            <w:tcW w:w="483" w:type="dxa"/>
          </w:tcPr>
          <w:p w14:paraId="465B5C0A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  <w:r w:rsidRPr="00F066AA">
              <w:rPr>
                <w:rFonts w:cs="Arial"/>
                <w:sz w:val="20"/>
                <w:lang w:val="fr-FR"/>
              </w:rPr>
              <w:t xml:space="preserve">11 </w:t>
            </w:r>
          </w:p>
        </w:tc>
        <w:tc>
          <w:tcPr>
            <w:tcW w:w="7592" w:type="dxa"/>
          </w:tcPr>
          <w:p w14:paraId="39E6D55B" w14:textId="4C232004" w:rsidR="00C36DEE" w:rsidRPr="00F066AA" w:rsidRDefault="009A372F" w:rsidP="00B2594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Lors des contextes d’urgence, d</w:t>
            </w:r>
            <w:r w:rsidR="00C1780C">
              <w:rPr>
                <w:rFonts w:cs="Arial"/>
                <w:sz w:val="20"/>
                <w:lang w:val="fr-FR"/>
              </w:rPr>
              <w:t>es o</w:t>
            </w:r>
            <w:r w:rsidR="00C36DEE" w:rsidRPr="00F066AA">
              <w:rPr>
                <w:rFonts w:cs="Arial"/>
                <w:sz w:val="20"/>
                <w:lang w:val="fr-FR"/>
              </w:rPr>
              <w:t>pportunit</w:t>
            </w:r>
            <w:r w:rsidR="00C1780C">
              <w:rPr>
                <w:rFonts w:cs="Arial"/>
                <w:sz w:val="20"/>
                <w:lang w:val="fr-FR"/>
              </w:rPr>
              <w:t>é</w:t>
            </w:r>
            <w:r w:rsidR="00C36DEE" w:rsidRPr="00F066AA">
              <w:rPr>
                <w:rFonts w:cs="Arial"/>
                <w:sz w:val="20"/>
                <w:lang w:val="fr-FR"/>
              </w:rPr>
              <w:t xml:space="preserve">s </w:t>
            </w:r>
            <w:r w:rsidR="00C1780C">
              <w:rPr>
                <w:rFonts w:cs="Arial"/>
                <w:sz w:val="20"/>
                <w:lang w:val="fr-FR"/>
              </w:rPr>
              <w:t>ont été créées pour aider les adolescents, filles et garçons, à acquérir des connaissances sur les règles</w:t>
            </w:r>
            <w:r w:rsidR="00C36DEE" w:rsidRPr="00F066AA">
              <w:rPr>
                <w:rFonts w:cs="Arial"/>
                <w:sz w:val="20"/>
                <w:lang w:val="fr-FR"/>
              </w:rPr>
              <w:t>.</w:t>
            </w:r>
          </w:p>
        </w:tc>
        <w:tc>
          <w:tcPr>
            <w:tcW w:w="941" w:type="dxa"/>
          </w:tcPr>
          <w:p w14:paraId="6793E936" w14:textId="77777777" w:rsidR="00C36DEE" w:rsidRPr="00F066AA" w:rsidRDefault="00C36DEE" w:rsidP="00965E3C">
            <w:pPr>
              <w:rPr>
                <w:rFonts w:cs="Arial"/>
                <w:sz w:val="20"/>
                <w:lang w:val="fr-FR"/>
              </w:rPr>
            </w:pPr>
          </w:p>
        </w:tc>
      </w:tr>
    </w:tbl>
    <w:p w14:paraId="185B5796" w14:textId="0FFA42AD" w:rsidR="00AA143A" w:rsidRPr="00F066AA" w:rsidRDefault="00AA143A" w:rsidP="000D623F">
      <w:pPr>
        <w:spacing w:before="0"/>
        <w:rPr>
          <w:rFonts w:cs="Arial"/>
          <w:szCs w:val="22"/>
          <w:lang w:val="fr-FR"/>
        </w:rPr>
      </w:pPr>
    </w:p>
    <w:sectPr w:rsidR="00AA143A" w:rsidRPr="00F066AA" w:rsidSect="00B968C5">
      <w:headerReference w:type="default" r:id="rId11"/>
      <w:footerReference w:type="default" r:id="rId12"/>
      <w:footerReference w:type="first" r:id="rId13"/>
      <w:pgSz w:w="11900" w:h="16840" w:code="9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E67E" w14:textId="77777777" w:rsidR="00D60294" w:rsidRDefault="00D60294">
      <w:r>
        <w:separator/>
      </w:r>
    </w:p>
    <w:p w14:paraId="24275AFF" w14:textId="77777777" w:rsidR="00D60294" w:rsidRDefault="00D60294"/>
    <w:p w14:paraId="14DABFC8" w14:textId="77777777" w:rsidR="00D60294" w:rsidRDefault="00D60294"/>
  </w:endnote>
  <w:endnote w:type="continuationSeparator" w:id="0">
    <w:p w14:paraId="304A6C9A" w14:textId="77777777" w:rsidR="00D60294" w:rsidRDefault="00D60294">
      <w:r>
        <w:continuationSeparator/>
      </w:r>
    </w:p>
    <w:p w14:paraId="323510AF" w14:textId="77777777" w:rsidR="00D60294" w:rsidRDefault="00D60294"/>
    <w:p w14:paraId="38CDE104" w14:textId="77777777" w:rsidR="00D60294" w:rsidRDefault="00D60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741078"/>
      <w:docPartObj>
        <w:docPartGallery w:val="Page Numbers (Bottom of Page)"/>
        <w:docPartUnique/>
      </w:docPartObj>
    </w:sdtPr>
    <w:sdtContent>
      <w:sdt>
        <w:sdtPr>
          <w:id w:val="-1569642849"/>
          <w:docPartObj>
            <w:docPartGallery w:val="Page Numbers (Top of Page)"/>
            <w:docPartUnique/>
          </w:docPartObj>
        </w:sdtPr>
        <w:sdtContent>
          <w:p w14:paraId="7E54EE85" w14:textId="29618ACA" w:rsidR="008B1827" w:rsidRDefault="008B1827">
            <w:pPr>
              <w:pStyle w:val="llb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 wp14:anchorId="2E75B182" wp14:editId="3A9CD8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181417</wp:posOffset>
                  </wp:positionV>
                  <wp:extent cx="3805200" cy="543600"/>
                  <wp:effectExtent l="0" t="0" r="5080" b="8890"/>
                  <wp:wrapSquare wrapText="bothSides"/>
                  <wp:docPr id="1" name="Image 1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19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19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C17C0A" w14:textId="280C7032" w:rsidR="00463DC9" w:rsidRDefault="00463DC9" w:rsidP="000D623F">
    <w:pPr>
      <w:pStyle w:val="llb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5933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5ABF10" w14:textId="29446F2A" w:rsidR="008B1827" w:rsidRDefault="008B1827">
            <w:pPr>
              <w:pStyle w:val="llb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5AB8AE9A" wp14:editId="50978A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189368</wp:posOffset>
                  </wp:positionV>
                  <wp:extent cx="3805200" cy="543600"/>
                  <wp:effectExtent l="0" t="0" r="5080" b="8890"/>
                  <wp:wrapSquare wrapText="bothSides"/>
                  <wp:docPr id="4" name="Image 4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27E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27E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3304F5" w14:textId="50BBC8CE" w:rsidR="00463DC9" w:rsidRDefault="00463DC9" w:rsidP="001D403F">
    <w:pPr>
      <w:pStyle w:val="llb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025E" w14:textId="77777777" w:rsidR="00D60294" w:rsidRDefault="00D60294">
      <w:r>
        <w:separator/>
      </w:r>
    </w:p>
    <w:p w14:paraId="1AD7959D" w14:textId="77777777" w:rsidR="00D60294" w:rsidRDefault="00D60294"/>
    <w:p w14:paraId="5B935AC3" w14:textId="77777777" w:rsidR="00D60294" w:rsidRDefault="00D60294"/>
  </w:footnote>
  <w:footnote w:type="continuationSeparator" w:id="0">
    <w:p w14:paraId="0E13FAD3" w14:textId="77777777" w:rsidR="00D60294" w:rsidRDefault="00D60294">
      <w:r>
        <w:continuationSeparator/>
      </w:r>
    </w:p>
    <w:p w14:paraId="2F8A3B22" w14:textId="77777777" w:rsidR="00D60294" w:rsidRDefault="00D60294"/>
    <w:p w14:paraId="650B4FF5" w14:textId="77777777" w:rsidR="00D60294" w:rsidRDefault="00D60294"/>
  </w:footnote>
  <w:footnote w:id="1">
    <w:p w14:paraId="5DD36788" w14:textId="08E5181F" w:rsidR="00D74FEC" w:rsidRPr="00C1780C" w:rsidRDefault="00D74FEC">
      <w:pPr>
        <w:pStyle w:val="Lbjegyzetszveg"/>
        <w:rPr>
          <w:lang w:val="fr-FR"/>
        </w:rPr>
      </w:pPr>
      <w:r>
        <w:rPr>
          <w:rStyle w:val="Lbjegyzet-hivatkozs"/>
        </w:rPr>
        <w:footnoteRef/>
      </w:r>
      <w:r w:rsidRPr="00C1780C">
        <w:rPr>
          <w:lang w:val="fr-FR"/>
        </w:rPr>
        <w:t xml:space="preserve"> </w:t>
      </w:r>
      <w:r w:rsidRPr="00C1780C">
        <w:rPr>
          <w:i/>
          <w:sz w:val="18"/>
          <w:lang w:val="fr-FR"/>
        </w:rPr>
        <w:t>Adapt</w:t>
      </w:r>
      <w:r w:rsidR="00C1780C" w:rsidRPr="00C1780C">
        <w:rPr>
          <w:i/>
          <w:sz w:val="18"/>
          <w:lang w:val="fr-FR"/>
        </w:rPr>
        <w:t>é d</w:t>
      </w:r>
      <w:r w:rsidR="00C1780C">
        <w:rPr>
          <w:i/>
          <w:sz w:val="18"/>
          <w:lang w:val="fr-FR"/>
        </w:rPr>
        <w:t>u kit de formation d</w:t>
      </w:r>
      <w:r w:rsidR="00C1780C" w:rsidRPr="00C1780C">
        <w:rPr>
          <w:i/>
          <w:sz w:val="18"/>
          <w:lang w:val="fr-FR"/>
        </w:rPr>
        <w:t>e la Croix-Rouge australienne</w:t>
      </w:r>
      <w:r w:rsidRPr="00C1780C">
        <w:rPr>
          <w:i/>
          <w:sz w:val="18"/>
          <w:lang w:val="fr-FR"/>
        </w:rPr>
        <w:t xml:space="preserve"> </w:t>
      </w:r>
      <w:r w:rsidR="00C1780C">
        <w:rPr>
          <w:i/>
          <w:sz w:val="18"/>
          <w:lang w:val="fr-FR"/>
        </w:rPr>
        <w:t>sur la</w:t>
      </w:r>
      <w:r w:rsidR="00C1780C" w:rsidRPr="00C1780C">
        <w:rPr>
          <w:i/>
          <w:sz w:val="18"/>
          <w:lang w:val="fr-FR"/>
        </w:rPr>
        <w:t xml:space="preserve"> </w:t>
      </w:r>
      <w:r w:rsidR="00C1780C">
        <w:rPr>
          <w:i/>
          <w:sz w:val="18"/>
          <w:lang w:val="fr-FR"/>
        </w:rPr>
        <w:t>GHM</w:t>
      </w:r>
      <w:r w:rsidRPr="00C1780C">
        <w:rPr>
          <w:i/>
          <w:sz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C730" w14:textId="524B1189" w:rsidR="00463DC9" w:rsidRPr="00C1780C" w:rsidRDefault="00C1780C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  <w:lang w:val="fr-FR"/>
      </w:rPr>
    </w:pPr>
    <w:r w:rsidRPr="00C1780C">
      <w:rPr>
        <w:rFonts w:ascii="Arial" w:hAnsi="Arial" w:cs="Caecilia-Light"/>
        <w:color w:val="FF0000"/>
        <w:sz w:val="16"/>
        <w:szCs w:val="14"/>
        <w:lang w:val="fr-FR"/>
      </w:rPr>
      <w:t>Fédération international des sociétés de la Croix-Rouge et du Croissant Rouge</w:t>
    </w:r>
    <w:r w:rsidR="00463DC9" w:rsidRPr="00C1780C">
      <w:rPr>
        <w:rFonts w:ascii="Arial" w:hAnsi="Arial" w:cs="Caecilia-Light"/>
        <w:color w:val="FF0000"/>
        <w:sz w:val="16"/>
        <w:szCs w:val="14"/>
        <w:lang w:val="fr-FR"/>
      </w:rPr>
      <w:br/>
    </w:r>
    <w:r w:rsidR="00463DC9" w:rsidRPr="00895C69">
      <w:rPr>
        <w:rStyle w:val="Oldalszm"/>
        <w:rFonts w:ascii="Arial" w:hAnsi="Arial" w:cs="Arial"/>
        <w:b/>
        <w:bCs/>
        <w:sz w:val="16"/>
        <w:szCs w:val="16"/>
      </w:rPr>
      <w:fldChar w:fldCharType="begin"/>
    </w:r>
    <w:r w:rsidR="00463DC9" w:rsidRPr="00C1780C">
      <w:rPr>
        <w:rStyle w:val="Oldalszm"/>
        <w:rFonts w:ascii="Arial" w:hAnsi="Arial" w:cs="Arial"/>
        <w:b/>
        <w:bCs/>
        <w:sz w:val="16"/>
        <w:szCs w:val="16"/>
        <w:lang w:val="fr-FR"/>
      </w:rPr>
      <w:instrText xml:space="preserve"> PAGE </w:instrText>
    </w:r>
    <w:r w:rsidR="00463DC9" w:rsidRPr="00895C69">
      <w:rPr>
        <w:rStyle w:val="Oldalszm"/>
        <w:rFonts w:ascii="Arial" w:hAnsi="Arial" w:cs="Arial"/>
        <w:b/>
        <w:bCs/>
        <w:sz w:val="16"/>
        <w:szCs w:val="16"/>
      </w:rPr>
      <w:fldChar w:fldCharType="separate"/>
    </w:r>
    <w:r w:rsidR="008B1980">
      <w:rPr>
        <w:rStyle w:val="Oldalszm"/>
        <w:rFonts w:ascii="Arial" w:hAnsi="Arial" w:cs="Arial"/>
        <w:b/>
        <w:bCs/>
        <w:noProof/>
        <w:sz w:val="16"/>
        <w:szCs w:val="16"/>
        <w:lang w:val="fr-FR"/>
      </w:rPr>
      <w:t>2</w:t>
    </w:r>
    <w:r w:rsidR="00463DC9" w:rsidRPr="00895C69">
      <w:rPr>
        <w:rStyle w:val="Oldalszm"/>
        <w:rFonts w:ascii="Arial" w:hAnsi="Arial" w:cs="Arial"/>
        <w:b/>
        <w:bCs/>
        <w:sz w:val="16"/>
        <w:szCs w:val="16"/>
      </w:rPr>
      <w:fldChar w:fldCharType="end"/>
    </w:r>
    <w:r w:rsidR="00463DC9" w:rsidRPr="00C1780C">
      <w:rPr>
        <w:rStyle w:val="Oldalszm"/>
        <w:rFonts w:ascii="Arial" w:hAnsi="Arial" w:cs="Arial"/>
        <w:b/>
        <w:bCs/>
        <w:sz w:val="16"/>
        <w:szCs w:val="16"/>
        <w:lang w:val="fr-FR"/>
      </w:rPr>
      <w:t xml:space="preserve"> </w:t>
    </w:r>
    <w:r w:rsidR="00463DC9" w:rsidRPr="00C1780C">
      <w:rPr>
        <w:rStyle w:val="Oldalszm"/>
        <w:rFonts w:ascii="Arial" w:hAnsi="Arial" w:cs="Arial"/>
        <w:b/>
        <w:bCs/>
        <w:color w:val="FF0000"/>
        <w:sz w:val="16"/>
        <w:szCs w:val="16"/>
        <w:lang w:val="fr-FR"/>
      </w:rPr>
      <w:t>I</w:t>
    </w:r>
    <w:r w:rsidR="00463DC9" w:rsidRPr="00C1780C">
      <w:rPr>
        <w:rStyle w:val="Oldalszm"/>
        <w:rFonts w:ascii="Arial" w:hAnsi="Arial" w:cs="Arial"/>
        <w:color w:val="FF0000"/>
        <w:sz w:val="16"/>
        <w:szCs w:val="16"/>
        <w:lang w:val="fr-FR"/>
      </w:rPr>
      <w:t xml:space="preserve"> </w:t>
    </w:r>
    <w:r w:rsidRPr="00C1780C">
      <w:rPr>
        <w:rFonts w:ascii="Arial" w:hAnsi="Arial"/>
        <w:b/>
        <w:sz w:val="16"/>
        <w:lang w:val="fr-FR"/>
      </w:rPr>
      <w:t>Gestion de l’</w:t>
    </w:r>
    <w:r>
      <w:rPr>
        <w:rFonts w:ascii="Arial" w:hAnsi="Arial"/>
        <w:b/>
        <w:sz w:val="16"/>
        <w:lang w:val="fr-FR"/>
      </w:rPr>
      <w:t>hyg</w:t>
    </w:r>
    <w:r w:rsidR="007369C2" w:rsidRPr="00C1780C">
      <w:rPr>
        <w:rFonts w:ascii="Arial" w:hAnsi="Arial"/>
        <w:b/>
        <w:sz w:val="16"/>
        <w:lang w:val="fr-FR"/>
      </w:rPr>
      <w:t>i</w:t>
    </w:r>
    <w:r>
      <w:rPr>
        <w:rFonts w:ascii="Arial" w:hAnsi="Arial"/>
        <w:b/>
        <w:sz w:val="16"/>
        <w:lang w:val="fr-FR"/>
      </w:rPr>
      <w:t>è</w:t>
    </w:r>
    <w:r w:rsidR="007369C2" w:rsidRPr="00C1780C">
      <w:rPr>
        <w:rFonts w:ascii="Arial" w:hAnsi="Arial"/>
        <w:b/>
        <w:sz w:val="16"/>
        <w:lang w:val="fr-FR"/>
      </w:rPr>
      <w:t>ne M</w:t>
    </w:r>
    <w:r>
      <w:rPr>
        <w:rFonts w:ascii="Arial" w:hAnsi="Arial"/>
        <w:b/>
        <w:sz w:val="16"/>
        <w:lang w:val="fr-FR"/>
      </w:rPr>
      <w:t>enstruelle</w:t>
    </w:r>
    <w:r w:rsidR="007369C2" w:rsidRPr="00C1780C">
      <w:rPr>
        <w:rFonts w:ascii="Arial" w:hAnsi="Arial"/>
        <w:b/>
        <w:sz w:val="16"/>
        <w:lang w:val="fr-FR"/>
      </w:rPr>
      <w:t xml:space="preserve"> (</w:t>
    </w:r>
    <w:r>
      <w:rPr>
        <w:rFonts w:ascii="Arial" w:hAnsi="Arial"/>
        <w:b/>
        <w:sz w:val="16"/>
        <w:lang w:val="fr-FR"/>
      </w:rPr>
      <w:t>G</w:t>
    </w:r>
    <w:r w:rsidR="007369C2" w:rsidRPr="00C1780C">
      <w:rPr>
        <w:rFonts w:ascii="Arial" w:hAnsi="Arial"/>
        <w:b/>
        <w:sz w:val="16"/>
        <w:lang w:val="fr-FR"/>
      </w:rPr>
      <w:t xml:space="preserve">HM) </w:t>
    </w:r>
    <w:r>
      <w:rPr>
        <w:rFonts w:ascii="Arial" w:hAnsi="Arial"/>
        <w:b/>
        <w:sz w:val="16"/>
        <w:lang w:val="fr-FR"/>
      </w:rPr>
      <w:t>en période d’urgence</w:t>
    </w:r>
    <w:r w:rsidR="00463DC9" w:rsidRPr="00C1780C">
      <w:rPr>
        <w:rFonts w:ascii="Arial" w:hAnsi="Arial"/>
        <w:b/>
        <w:sz w:val="16"/>
        <w:lang w:val="fr-FR"/>
      </w:rPr>
      <w:t xml:space="preserve"> / </w:t>
    </w:r>
    <w:r w:rsidR="00463DC9" w:rsidRPr="00C1780C">
      <w:rPr>
        <w:rFonts w:ascii="Arial" w:hAnsi="Arial"/>
        <w:b/>
        <w:color w:val="FF0000"/>
        <w:sz w:val="16"/>
        <w:lang w:val="fr-FR"/>
      </w:rPr>
      <w:t>F</w:t>
    </w:r>
    <w:r>
      <w:rPr>
        <w:rFonts w:ascii="Arial" w:hAnsi="Arial"/>
        <w:b/>
        <w:color w:val="FF0000"/>
        <w:sz w:val="16"/>
        <w:lang w:val="fr-FR"/>
      </w:rPr>
      <w:t>ICR</w:t>
    </w:r>
    <w:r w:rsidR="00463DC9" w:rsidRPr="00C1780C">
      <w:rPr>
        <w:rFonts w:ascii="Arial" w:hAnsi="Arial"/>
        <w:b/>
        <w:sz w:val="16"/>
        <w:lang w:val="fr-FR"/>
      </w:rPr>
      <w:t xml:space="preserve"> </w:t>
    </w:r>
    <w:r w:rsidR="00463DC9" w:rsidRPr="00C1780C">
      <w:rPr>
        <w:rFonts w:ascii="Arial" w:hAnsi="Arial"/>
        <w:b/>
        <w:color w:val="7F7F7F"/>
        <w:sz w:val="16"/>
        <w:lang w:val="fr-FR"/>
      </w:rPr>
      <w:t xml:space="preserve">/ </w:t>
    </w:r>
    <w:r w:rsidRPr="00C1780C">
      <w:rPr>
        <w:rFonts w:ascii="Arial" w:hAnsi="Arial"/>
        <w:b/>
        <w:color w:val="7F7F7F"/>
        <w:sz w:val="16"/>
        <w:lang w:val="fr-FR"/>
      </w:rPr>
      <w:t>Projet</w:t>
    </w:r>
    <w:r w:rsidR="007369C2" w:rsidRPr="00C1780C">
      <w:rPr>
        <w:rFonts w:ascii="Arial" w:hAnsi="Arial"/>
        <w:b/>
        <w:color w:val="7F7F7F"/>
        <w:sz w:val="16"/>
        <w:lang w:val="fr-FR"/>
      </w:rPr>
      <w:t xml:space="preserve"> – Ju</w:t>
    </w:r>
    <w:r>
      <w:rPr>
        <w:rFonts w:ascii="Arial" w:hAnsi="Arial"/>
        <w:b/>
        <w:color w:val="7F7F7F"/>
        <w:sz w:val="16"/>
        <w:lang w:val="fr-FR"/>
      </w:rPr>
      <w:t>in</w:t>
    </w:r>
    <w:r w:rsidR="007369C2" w:rsidRPr="00C1780C">
      <w:rPr>
        <w:rFonts w:ascii="Arial" w:hAnsi="Arial"/>
        <w:b/>
        <w:color w:val="7F7F7F"/>
        <w:sz w:val="16"/>
        <w:lang w:val="fr-FR"/>
      </w:rPr>
      <w:t xml:space="preserve"> 2018 </w:t>
    </w:r>
  </w:p>
  <w:p w14:paraId="1A66B684" w14:textId="77777777" w:rsidR="00463DC9" w:rsidRPr="00C1780C" w:rsidRDefault="00463D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5456">
    <w:abstractNumId w:val="7"/>
  </w:num>
  <w:num w:numId="2" w16cid:durableId="619456841">
    <w:abstractNumId w:val="2"/>
  </w:num>
  <w:num w:numId="3" w16cid:durableId="1663191147">
    <w:abstractNumId w:val="4"/>
  </w:num>
  <w:num w:numId="4" w16cid:durableId="607274483">
    <w:abstractNumId w:val="3"/>
  </w:num>
  <w:num w:numId="5" w16cid:durableId="1804736949">
    <w:abstractNumId w:val="5"/>
  </w:num>
  <w:num w:numId="6" w16cid:durableId="1748453696">
    <w:abstractNumId w:val="8"/>
  </w:num>
  <w:num w:numId="7" w16cid:durableId="73013372">
    <w:abstractNumId w:val="0"/>
  </w:num>
  <w:num w:numId="8" w16cid:durableId="1542282896">
    <w:abstractNumId w:val="9"/>
  </w:num>
  <w:num w:numId="9" w16cid:durableId="1020428081">
    <w:abstractNumId w:val="6"/>
  </w:num>
  <w:num w:numId="10" w16cid:durableId="34401525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54"/>
    <w:rsid w:val="00016F0F"/>
    <w:rsid w:val="00021F6B"/>
    <w:rsid w:val="00036D05"/>
    <w:rsid w:val="00046DFC"/>
    <w:rsid w:val="00075A92"/>
    <w:rsid w:val="000A3B95"/>
    <w:rsid w:val="000D34D3"/>
    <w:rsid w:val="000D623F"/>
    <w:rsid w:val="00102F65"/>
    <w:rsid w:val="00165B16"/>
    <w:rsid w:val="00165ED1"/>
    <w:rsid w:val="00177A3D"/>
    <w:rsid w:val="00181B33"/>
    <w:rsid w:val="001A444B"/>
    <w:rsid w:val="001C352F"/>
    <w:rsid w:val="001D403F"/>
    <w:rsid w:val="001E2BFF"/>
    <w:rsid w:val="001E2D6C"/>
    <w:rsid w:val="001E72A6"/>
    <w:rsid w:val="00207B8D"/>
    <w:rsid w:val="0021450C"/>
    <w:rsid w:val="0022474F"/>
    <w:rsid w:val="0024425E"/>
    <w:rsid w:val="00280271"/>
    <w:rsid w:val="002942E3"/>
    <w:rsid w:val="002960C0"/>
    <w:rsid w:val="002B4DD4"/>
    <w:rsid w:val="002B7D79"/>
    <w:rsid w:val="002C33A1"/>
    <w:rsid w:val="002C4752"/>
    <w:rsid w:val="002E312E"/>
    <w:rsid w:val="002F0442"/>
    <w:rsid w:val="002F43C1"/>
    <w:rsid w:val="00312A9C"/>
    <w:rsid w:val="00321D15"/>
    <w:rsid w:val="00366464"/>
    <w:rsid w:val="00375028"/>
    <w:rsid w:val="0039586B"/>
    <w:rsid w:val="003D15AD"/>
    <w:rsid w:val="003D5439"/>
    <w:rsid w:val="003E384A"/>
    <w:rsid w:val="003E4915"/>
    <w:rsid w:val="00411CFE"/>
    <w:rsid w:val="0042526B"/>
    <w:rsid w:val="00457D7F"/>
    <w:rsid w:val="00463DC9"/>
    <w:rsid w:val="00463DE6"/>
    <w:rsid w:val="00470F02"/>
    <w:rsid w:val="0047665C"/>
    <w:rsid w:val="0048491F"/>
    <w:rsid w:val="00495F92"/>
    <w:rsid w:val="004B2494"/>
    <w:rsid w:val="004C0997"/>
    <w:rsid w:val="004F38FA"/>
    <w:rsid w:val="00520887"/>
    <w:rsid w:val="00522986"/>
    <w:rsid w:val="00535EA1"/>
    <w:rsid w:val="00552020"/>
    <w:rsid w:val="00567431"/>
    <w:rsid w:val="005A7CD4"/>
    <w:rsid w:val="005C2E75"/>
    <w:rsid w:val="005F4C7A"/>
    <w:rsid w:val="0061122D"/>
    <w:rsid w:val="00612730"/>
    <w:rsid w:val="00631BF2"/>
    <w:rsid w:val="00653534"/>
    <w:rsid w:val="00671092"/>
    <w:rsid w:val="00681EA5"/>
    <w:rsid w:val="00684F95"/>
    <w:rsid w:val="00697F18"/>
    <w:rsid w:val="006A597F"/>
    <w:rsid w:val="006C219B"/>
    <w:rsid w:val="006D1BE1"/>
    <w:rsid w:val="006D4528"/>
    <w:rsid w:val="006D72F4"/>
    <w:rsid w:val="006E6B28"/>
    <w:rsid w:val="006F4CA1"/>
    <w:rsid w:val="00702B5B"/>
    <w:rsid w:val="00710562"/>
    <w:rsid w:val="00711650"/>
    <w:rsid w:val="00724BCB"/>
    <w:rsid w:val="00727E5A"/>
    <w:rsid w:val="00732ECA"/>
    <w:rsid w:val="007369C2"/>
    <w:rsid w:val="00742414"/>
    <w:rsid w:val="007716AB"/>
    <w:rsid w:val="007743B3"/>
    <w:rsid w:val="0077573C"/>
    <w:rsid w:val="00795BD7"/>
    <w:rsid w:val="007A6C18"/>
    <w:rsid w:val="007C20B5"/>
    <w:rsid w:val="00822F55"/>
    <w:rsid w:val="008357A4"/>
    <w:rsid w:val="008471D5"/>
    <w:rsid w:val="0088055B"/>
    <w:rsid w:val="008B1827"/>
    <w:rsid w:val="008B1980"/>
    <w:rsid w:val="008F16E5"/>
    <w:rsid w:val="009056C5"/>
    <w:rsid w:val="009136D1"/>
    <w:rsid w:val="00923110"/>
    <w:rsid w:val="00936DF9"/>
    <w:rsid w:val="00961429"/>
    <w:rsid w:val="00987137"/>
    <w:rsid w:val="009A372F"/>
    <w:rsid w:val="009B1042"/>
    <w:rsid w:val="00A009F8"/>
    <w:rsid w:val="00A27C95"/>
    <w:rsid w:val="00A31341"/>
    <w:rsid w:val="00A445D3"/>
    <w:rsid w:val="00A45F90"/>
    <w:rsid w:val="00A55C54"/>
    <w:rsid w:val="00A62A9B"/>
    <w:rsid w:val="00AA143A"/>
    <w:rsid w:val="00AA5858"/>
    <w:rsid w:val="00AB6165"/>
    <w:rsid w:val="00AE7B03"/>
    <w:rsid w:val="00B00105"/>
    <w:rsid w:val="00B04B93"/>
    <w:rsid w:val="00B25942"/>
    <w:rsid w:val="00B47EAA"/>
    <w:rsid w:val="00B76B39"/>
    <w:rsid w:val="00B968C5"/>
    <w:rsid w:val="00BD2911"/>
    <w:rsid w:val="00C10676"/>
    <w:rsid w:val="00C119CA"/>
    <w:rsid w:val="00C1780C"/>
    <w:rsid w:val="00C36DEE"/>
    <w:rsid w:val="00C4015D"/>
    <w:rsid w:val="00C40435"/>
    <w:rsid w:val="00C43F73"/>
    <w:rsid w:val="00C51D04"/>
    <w:rsid w:val="00C70F78"/>
    <w:rsid w:val="00CA57E9"/>
    <w:rsid w:val="00CA79DE"/>
    <w:rsid w:val="00CB6833"/>
    <w:rsid w:val="00CD7B53"/>
    <w:rsid w:val="00CE0131"/>
    <w:rsid w:val="00D03FB3"/>
    <w:rsid w:val="00D35576"/>
    <w:rsid w:val="00D60294"/>
    <w:rsid w:val="00D65EC5"/>
    <w:rsid w:val="00D65EDA"/>
    <w:rsid w:val="00D67CFC"/>
    <w:rsid w:val="00D74FEC"/>
    <w:rsid w:val="00E303D5"/>
    <w:rsid w:val="00E45BB2"/>
    <w:rsid w:val="00E7753B"/>
    <w:rsid w:val="00E86845"/>
    <w:rsid w:val="00EE4E20"/>
    <w:rsid w:val="00F066AA"/>
    <w:rsid w:val="00F07EC1"/>
    <w:rsid w:val="00F21401"/>
    <w:rsid w:val="00F31A6F"/>
    <w:rsid w:val="00F406F5"/>
    <w:rsid w:val="00F46A0B"/>
    <w:rsid w:val="00F50B43"/>
    <w:rsid w:val="00F667F4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Cmsor2">
    <w:name w:val="heading 2"/>
    <w:basedOn w:val="Norml"/>
    <w:next w:val="Norml"/>
    <w:link w:val="Cmsor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Cmsor3">
    <w:name w:val="heading 3"/>
    <w:basedOn w:val="Norml"/>
    <w:next w:val="Norml"/>
    <w:link w:val="Cmsor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Cmsor4">
    <w:name w:val="heading 4"/>
    <w:basedOn w:val="Norml"/>
    <w:next w:val="Norml"/>
    <w:link w:val="Cmsor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C20B5"/>
    <w:rPr>
      <w:rFonts w:ascii="Arial Bold" w:hAnsi="Arial Bold"/>
      <w:color w:val="FF0000"/>
      <w:sz w:val="24"/>
      <w:szCs w:val="24"/>
    </w:rPr>
  </w:style>
  <w:style w:type="character" w:customStyle="1" w:styleId="Cmsor2Char">
    <w:name w:val="Címsor 2 Char"/>
    <w:link w:val="Cmsor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Cmsor3Char">
    <w:name w:val="Címsor 3 Char"/>
    <w:link w:val="Cmsor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Cmsor4Char">
    <w:name w:val="Címsor 4 Char"/>
    <w:link w:val="Cmsor4"/>
    <w:rsid w:val="00CB46EE"/>
    <w:rPr>
      <w:rFonts w:ascii="Arial Bold" w:hAnsi="Arial Bold"/>
      <w:szCs w:val="24"/>
    </w:rPr>
  </w:style>
  <w:style w:type="paragraph" w:styleId="lfej">
    <w:name w:val="header"/>
    <w:basedOn w:val="Norml"/>
    <w:link w:val="lfej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EA7C95"/>
  </w:style>
  <w:style w:type="paragraph" w:styleId="llb">
    <w:name w:val="footer"/>
    <w:basedOn w:val="Norml"/>
    <w:link w:val="llb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EA7C95"/>
  </w:style>
  <w:style w:type="character" w:styleId="Hiperhivatkozs">
    <w:name w:val="Hyperlink"/>
    <w:rsid w:val="00B470E5"/>
    <w:rPr>
      <w:color w:val="0000FF"/>
      <w:u w:val="single"/>
    </w:rPr>
  </w:style>
  <w:style w:type="character" w:styleId="Lbjegyzet-hivatkozs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Oldalszm">
    <w:name w:val="page number"/>
    <w:basedOn w:val="Bekezdsalapbettpusa"/>
    <w:uiPriority w:val="99"/>
    <w:rsid w:val="00C70885"/>
  </w:style>
  <w:style w:type="paragraph" w:customStyle="1" w:styleId="Listbulleted1">
    <w:name w:val="List bulleted 1"/>
    <w:basedOn w:val="Norm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l"/>
    <w:qFormat/>
    <w:rsid w:val="00BA622B"/>
    <w:rPr>
      <w:rFonts w:ascii="Arial Rounded MT Bold" w:hAnsi="Arial Rounded MT Bold"/>
    </w:rPr>
  </w:style>
  <w:style w:type="character" w:styleId="Ershivatkozs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Cmsor1"/>
    <w:qFormat/>
    <w:rsid w:val="007C20B5"/>
    <w:rPr>
      <w:rFonts w:ascii="Arial" w:hAnsi="Arial"/>
      <w:color w:val="C00000"/>
      <w:sz w:val="32"/>
    </w:rPr>
  </w:style>
  <w:style w:type="paragraph" w:styleId="Lbjegyzetszveg">
    <w:name w:val="footnote text"/>
    <w:basedOn w:val="Norml"/>
    <w:link w:val="LbjegyzetszvegChar"/>
    <w:uiPriority w:val="99"/>
    <w:rsid w:val="00495F92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95F92"/>
    <w:rPr>
      <w:rFonts w:ascii="Arial" w:hAnsi="Arial"/>
    </w:rPr>
  </w:style>
  <w:style w:type="character" w:styleId="Jegyzethivatkozs">
    <w:name w:val="annotation reference"/>
    <w:basedOn w:val="Bekezdsalapbettpusa"/>
    <w:semiHidden/>
    <w:unhideWhenUsed/>
    <w:rsid w:val="001A444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A444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A444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A44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A444B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A444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07B8D"/>
    <w:pPr>
      <w:ind w:left="720"/>
      <w:contextualSpacing/>
    </w:pPr>
  </w:style>
  <w:style w:type="table" w:styleId="Rcsostblzat">
    <w:name w:val="Table Grid"/>
    <w:basedOn w:val="Normltblzat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rsid w:val="00BD2911"/>
    <w:rPr>
      <w:color w:val="800080" w:themeColor="followedHyperlink"/>
      <w:u w:val="single"/>
    </w:rPr>
  </w:style>
  <w:style w:type="table" w:customStyle="1" w:styleId="TableGrid1">
    <w:name w:val="Table Grid1"/>
    <w:basedOn w:val="Normltblzat"/>
    <w:next w:val="Rcsostblzat"/>
    <w:uiPriority w:val="59"/>
    <w:rsid w:val="00C36D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rsid w:val="004C099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437DBF-ECB5-4BED-AA4B-781955497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54B58-BBFD-46B4-9C2D-B06ED4940B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0</TotalTime>
  <Pages>2</Pages>
  <Words>381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Erika Mildner-Viski</cp:lastModifiedBy>
  <cp:revision>2</cp:revision>
  <cp:lastPrinted>2019-05-22T12:33:00Z</cp:lastPrinted>
  <dcterms:created xsi:type="dcterms:W3CDTF">2025-06-19T13:02:00Z</dcterms:created>
  <dcterms:modified xsi:type="dcterms:W3CDTF">2025-06-19T13:02:00Z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